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D3F79">
      <w:pPr>
        <w:keepNext w:val="0"/>
        <w:keepLines w:val="0"/>
        <w:pageBreakBefore w:val="0"/>
        <w:kinsoku/>
        <w:wordWrap/>
        <w:overflowPunct/>
        <w:topLinePunct w:val="0"/>
        <w:autoSpaceDE/>
        <w:autoSpaceDN/>
        <w:bidi w:val="0"/>
        <w:adjustRightInd/>
        <w:spacing w:line="240" w:lineRule="auto"/>
        <w:jc w:val="distribute"/>
        <w:textAlignment w:val="auto"/>
        <w:rPr>
          <w:rFonts w:ascii="华文中宋" w:hAnsi="华文中宋" w:eastAsia="华文中宋"/>
          <w:b/>
          <w:bCs/>
          <w:color w:val="FF0000"/>
          <w:w w:val="80"/>
          <w:sz w:val="100"/>
          <w:szCs w:val="100"/>
          <w:highlight w:val="none"/>
        </w:rPr>
      </w:pPr>
      <w:r>
        <w:rPr>
          <w:rFonts w:hint="eastAsia" w:ascii="华文中宋" w:hAnsi="华文中宋" w:eastAsia="华文中宋"/>
          <w:b/>
          <w:bCs/>
          <w:color w:val="FF0000"/>
          <w:w w:val="80"/>
          <w:sz w:val="100"/>
          <w:szCs w:val="100"/>
          <w:highlight w:val="none"/>
        </w:rPr>
        <w:t>吉首大学教务处</w:t>
      </w:r>
    </w:p>
    <w:p w14:paraId="42D0ED5C">
      <w:pPr>
        <w:keepNext w:val="0"/>
        <w:keepLines w:val="0"/>
        <w:pageBreakBefore w:val="0"/>
        <w:kinsoku/>
        <w:wordWrap/>
        <w:overflowPunct/>
        <w:topLinePunct w:val="0"/>
        <w:autoSpaceDE/>
        <w:autoSpaceDN/>
        <w:bidi w:val="0"/>
        <w:adjustRightInd/>
        <w:snapToGrid w:val="0"/>
        <w:spacing w:line="240" w:lineRule="auto"/>
        <w:jc w:val="center"/>
        <w:textAlignment w:val="auto"/>
        <w:rPr>
          <w:color w:val="auto"/>
          <w:szCs w:val="21"/>
        </w:rPr>
      </w:pPr>
      <w:r>
        <w:rPr>
          <w:rFonts w:hint="eastAsia" w:ascii="仿宋_GB2312" w:eastAsia="仿宋_GB2312"/>
          <w:color w:val="auto"/>
          <w:sz w:val="32"/>
          <w:szCs w:val="32"/>
        </w:rPr>
        <w:t>教通</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号</w:t>
      </w:r>
    </w:p>
    <w:p w14:paraId="5AC06E03">
      <w:pPr>
        <w:keepNext w:val="0"/>
        <w:keepLines w:val="0"/>
        <w:pageBreakBefore w:val="0"/>
        <w:kinsoku/>
        <w:wordWrap/>
        <w:overflowPunct/>
        <w:topLinePunct w:val="0"/>
        <w:autoSpaceDE/>
        <w:autoSpaceDN/>
        <w:bidi w:val="0"/>
        <w:adjustRightInd/>
        <w:spacing w:line="240" w:lineRule="auto"/>
        <w:textAlignment w:val="auto"/>
        <w:rPr>
          <w:color w:val="auto"/>
          <w:szCs w:val="21"/>
        </w:rPr>
      </w:pPr>
      <w:r>
        <w:rPr>
          <w:color w:val="auto"/>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99695</wp:posOffset>
                </wp:positionV>
                <wp:extent cx="5507355" cy="20955"/>
                <wp:effectExtent l="0" t="0" r="0" b="0"/>
                <wp:wrapNone/>
                <wp:docPr id="1" name="直线 2"/>
                <wp:cNvGraphicFramePr/>
                <a:graphic xmlns:a="http://schemas.openxmlformats.org/drawingml/2006/main">
                  <a:graphicData uri="http://schemas.microsoft.com/office/word/2010/wordprocessingShape">
                    <wps:wsp>
                      <wps:cNvCnPr/>
                      <wps:spPr>
                        <a:xfrm flipV="1">
                          <a:off x="0" y="0"/>
                          <a:ext cx="5507355" cy="20955"/>
                        </a:xfrm>
                        <a:prstGeom prst="line">
                          <a:avLst/>
                        </a:prstGeom>
                        <a:ln w="22225" cap="flat" cmpd="sng">
                          <a:solidFill>
                            <a:srgbClr val="FF0000"/>
                          </a:solidFill>
                          <a:prstDash val="solid"/>
                          <a:headEnd type="none" w="med" len="med"/>
                          <a:tailEnd type="none" w="med" len="med"/>
                        </a:ln>
                      </wps:spPr>
                      <wps:bodyPr/>
                    </wps:wsp>
                  </a:graphicData>
                </a:graphic>
              </wp:anchor>
            </w:drawing>
          </mc:Choice>
          <mc:Fallback>
            <w:pict>
              <v:line id="直线 2" o:spid="_x0000_s1026" o:spt="20" style="position:absolute;left:0pt;flip:y;margin-left:0pt;margin-top:7.85pt;height:1.65pt;width:433.65pt;z-index:251660288;mso-width-relative:page;mso-height-relative:page;" filled="f" stroked="t" coordsize="21600,21600" o:gfxdata="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6yHFjWAAAA&#10;BgEAAA8AAAAAAAAAAQAgAAAAIgAAAGRycy9kb3ducmV2LnhtbFBLAQIUABQAAAAIAIdO4kCcpdIU&#10;5gEAAN4DAAAOAAAAAAAAAAEAIAAAACUBAABkcnMvZTJvRG9jLnhtbFBLBQYAAAAABgAGAFkBAAB9&#10;BQAAAAA=&#10;">
                <v:fill on="f" focussize="0,0"/>
                <v:stroke weight="1.75pt" color="#FF0000" joinstyle="round"/>
                <v:imagedata o:title=""/>
                <o:lock v:ext="edit" aspectratio="f"/>
              </v:line>
            </w:pict>
          </mc:Fallback>
        </mc:AlternateContent>
      </w:r>
    </w:p>
    <w:p w14:paraId="4B276124">
      <w:pPr>
        <w:keepNext w:val="0"/>
        <w:keepLines w:val="0"/>
        <w:pageBreakBefore w:val="0"/>
        <w:widowControl/>
        <w:kinsoku/>
        <w:wordWrap/>
        <w:overflowPunct/>
        <w:topLinePunct w:val="0"/>
        <w:autoSpaceDE/>
        <w:autoSpaceDN/>
        <w:bidi w:val="0"/>
        <w:adjustRightInd/>
        <w:snapToGrid/>
        <w:spacing w:before="100" w:beforeAutospacing="1" w:after="120" w:line="240" w:lineRule="auto"/>
        <w:jc w:val="center"/>
        <w:textAlignment w:val="auto"/>
        <w:outlineLvl w:val="0"/>
        <w:rPr>
          <w:rFonts w:hint="eastAsia" w:ascii="黑体" w:hAnsi="黑体" w:eastAsia="黑体"/>
          <w:color w:val="auto"/>
          <w:sz w:val="36"/>
          <w:szCs w:val="36"/>
        </w:rPr>
      </w:pPr>
      <w:r>
        <w:rPr>
          <w:rFonts w:hint="eastAsia" w:ascii="黑体" w:hAnsi="黑体" w:eastAsia="黑体"/>
          <w:color w:val="auto"/>
          <w:sz w:val="36"/>
          <w:szCs w:val="36"/>
        </w:rPr>
        <w:t>关于组织202</w:t>
      </w:r>
      <w:r>
        <w:rPr>
          <w:rFonts w:hint="eastAsia" w:ascii="黑体" w:hAnsi="黑体" w:eastAsia="黑体"/>
          <w:color w:val="auto"/>
          <w:sz w:val="36"/>
          <w:szCs w:val="36"/>
          <w:lang w:val="en-US" w:eastAsia="zh-CN"/>
        </w:rPr>
        <w:t>5</w:t>
      </w:r>
      <w:r>
        <w:rPr>
          <w:rFonts w:hint="eastAsia" w:ascii="黑体" w:hAnsi="黑体" w:eastAsia="黑体"/>
          <w:color w:val="auto"/>
          <w:sz w:val="36"/>
          <w:szCs w:val="36"/>
        </w:rPr>
        <w:t>年省校两级教学改革研究项目</w:t>
      </w:r>
    </w:p>
    <w:p w14:paraId="49B80ECF">
      <w:pPr>
        <w:keepNext w:val="0"/>
        <w:keepLines w:val="0"/>
        <w:pageBreakBefore w:val="0"/>
        <w:widowControl/>
        <w:kinsoku/>
        <w:wordWrap/>
        <w:overflowPunct/>
        <w:topLinePunct w:val="0"/>
        <w:autoSpaceDE/>
        <w:autoSpaceDN/>
        <w:bidi w:val="0"/>
        <w:adjustRightInd/>
        <w:snapToGrid/>
        <w:spacing w:before="100" w:beforeAutospacing="1" w:after="120" w:line="240" w:lineRule="auto"/>
        <w:jc w:val="center"/>
        <w:textAlignment w:val="auto"/>
        <w:outlineLvl w:val="0"/>
        <w:rPr>
          <w:rFonts w:ascii="黑体" w:hAnsi="黑体" w:eastAsia="黑体"/>
          <w:color w:val="auto"/>
          <w:sz w:val="36"/>
          <w:szCs w:val="36"/>
        </w:rPr>
      </w:pPr>
      <w:r>
        <w:rPr>
          <w:rFonts w:hint="eastAsia" w:ascii="黑体" w:hAnsi="黑体" w:eastAsia="黑体"/>
          <w:color w:val="auto"/>
          <w:sz w:val="36"/>
          <w:szCs w:val="36"/>
        </w:rPr>
        <w:t>申报与结题工作的通知</w:t>
      </w:r>
    </w:p>
    <w:p w14:paraId="1C950AD7">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_GB2312" w:eastAsia="仿宋_GB2312"/>
          <w:color w:val="auto"/>
          <w:sz w:val="28"/>
          <w:szCs w:val="28"/>
        </w:rPr>
      </w:pPr>
      <w:r>
        <w:rPr>
          <w:rFonts w:hint="eastAsia" w:ascii="仿宋_GB2312" w:eastAsia="仿宋_GB2312"/>
          <w:color w:val="auto"/>
          <w:sz w:val="28"/>
          <w:szCs w:val="28"/>
        </w:rPr>
        <w:t>各学院及有关单位：</w:t>
      </w:r>
    </w:p>
    <w:p w14:paraId="359F4C0F">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eastAsia="微软雅黑"/>
          <w:color w:val="auto"/>
          <w:sz w:val="28"/>
          <w:szCs w:val="28"/>
        </w:rPr>
      </w:pPr>
      <w:r>
        <w:rPr>
          <w:rFonts w:hint="eastAsia" w:ascii="仿宋_GB2312" w:eastAsia="仿宋_GB2312"/>
          <w:color w:val="auto"/>
          <w:sz w:val="28"/>
          <w:szCs w:val="28"/>
        </w:rPr>
        <w:t xml:space="preserve">    为进一步深化教学改革，努力构建高水平人才培养体系，根据省教育厅《关于开展202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年湖南省普通高等学校教学改革研究项目立项和结题工作的通知》文件精神，经学校研究决定组织开展202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年度省校两级教学改革研究项目申报与结题工作，现将有关事项通知如下：</w:t>
      </w:r>
    </w:p>
    <w:p w14:paraId="2FBCF18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lang w:val="en-US" w:eastAsia="zh-CN"/>
        </w:rPr>
        <w:t>一</w:t>
      </w:r>
      <w:r>
        <w:rPr>
          <w:rFonts w:hint="eastAsia" w:ascii="黑体" w:hAnsi="黑体" w:eastAsia="黑体" w:cs="黑体"/>
          <w:color w:val="auto"/>
          <w:sz w:val="28"/>
          <w:szCs w:val="28"/>
        </w:rPr>
        <w:t>、申报工作</w:t>
      </w:r>
    </w:p>
    <w:p w14:paraId="2651B0F7">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hAnsi="黑体" w:eastAsia="仿宋_GB2312" w:cs="黑体"/>
          <w:b/>
          <w:bCs/>
          <w:color w:val="auto"/>
          <w:sz w:val="28"/>
          <w:szCs w:val="28"/>
        </w:rPr>
      </w:pPr>
      <w:r>
        <w:rPr>
          <w:rFonts w:hint="eastAsia" w:ascii="仿宋_GB2312" w:hAnsi="楷体" w:eastAsia="仿宋_GB2312" w:cs="楷体"/>
          <w:b/>
          <w:bCs/>
          <w:color w:val="auto"/>
          <w:sz w:val="28"/>
          <w:szCs w:val="28"/>
        </w:rPr>
        <w:t>（一）</w:t>
      </w:r>
      <w:r>
        <w:rPr>
          <w:rFonts w:hint="eastAsia" w:ascii="仿宋_GB2312" w:eastAsia="仿宋_GB2312"/>
          <w:b/>
          <w:bCs/>
          <w:color w:val="auto"/>
          <w:sz w:val="28"/>
          <w:szCs w:val="28"/>
        </w:rPr>
        <w:t>项目分类</w:t>
      </w:r>
    </w:p>
    <w:p w14:paraId="29BE48A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教学改革研究项目分为普通教育</w:t>
      </w:r>
      <w:r>
        <w:rPr>
          <w:rFonts w:hint="eastAsia" w:ascii="仿宋_GB2312" w:eastAsia="仿宋_GB2312"/>
          <w:color w:val="auto"/>
          <w:sz w:val="28"/>
          <w:szCs w:val="28"/>
          <w:lang w:val="en-US" w:eastAsia="zh-CN"/>
        </w:rPr>
        <w:t>项目（含实验教学相关项目）</w:t>
      </w:r>
      <w:r>
        <w:rPr>
          <w:rFonts w:hint="eastAsia" w:ascii="仿宋_GB2312" w:eastAsia="仿宋_GB2312"/>
          <w:color w:val="auto"/>
          <w:sz w:val="28"/>
          <w:szCs w:val="28"/>
        </w:rPr>
        <w:t>、课程思政、基础学科、人工智能+、湘江卓越工程师学院、国防教育或国家安全教育、图书馆、继续教育和公共英语九类申报。</w:t>
      </w:r>
    </w:p>
    <w:p w14:paraId="0FD8F07D">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1.普通教育项目须深化产教融合，对接科技和产业发展最前沿，重点围绕学科专业内涵重塑、一流本科课程教材建设、创新创业人才培养、完善实习实践制度等方面开展有组织的研究。</w:t>
      </w:r>
    </w:p>
    <w:p w14:paraId="43FA7291">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课程思政项目须围绕如何科学设计课程思政教学体系、结合专业特点分类推进课程思政建设、将课程思政融入课堂教学全过程、提升教师课程思政建设能力、建立健全课程思政建设质量评价体系和激励机制等方面开展研究与探索。</w:t>
      </w:r>
    </w:p>
    <w:p w14:paraId="06B33EB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基础学科项目须在数学、物理学（含力学）、化学、生物科学、天文学、地理科学、大气科学、海洋科学、地球物理学、地质学、心理学、基础医学（含药学）、哲学、经济学、中国语言文学、历史学等学科范围内开展拔尖人才培养教改研究。</w:t>
      </w:r>
    </w:p>
    <w:p w14:paraId="6D6FA9E9">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4.人工智能+项目须围绕人工智能理念、知识、方法和技术深度融入高等教育专业建设，推动课程教材、培养方式、实习实践、教学评价等改革创新，深化和丰富“人工智能+高等教育”应用场景。</w:t>
      </w:r>
    </w:p>
    <w:p w14:paraId="196099A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5.湘江卓越工程师学院项目须围绕深化“新工科”教育教学改革、开展项目化教学、体系化培养拔尖创新创业人才、提高人才培养质量进行研究。</w:t>
      </w:r>
    </w:p>
    <w:p w14:paraId="7C279AF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6.国防教育或国家安全教育项目须坚持总体国家安全观，聚焦国防教育和国家安全教育课程建设、教学资源建设等重难点问题开展研究。</w:t>
      </w:r>
    </w:p>
    <w:p w14:paraId="51D8F9D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7.图书馆项目须围绕图书馆落实立德树人根本任务，推进管理服务创新开展研究。选题可参考图书馆工作指导委员会制定的立项指南（附件 4）。</w:t>
      </w:r>
    </w:p>
    <w:p w14:paraId="0611EE39">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8.继续教育项目须专题研究普通高校继续教育教学改革问题，由实际从事继续教育工作的任课教师或管理人员（学校分管继续教育的校领导、继续教育相应二级单位的管理人员）承担。</w:t>
      </w:r>
    </w:p>
    <w:p w14:paraId="74755EA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9.公共英语项目须专题研究普通高校公共英语教学改革问题，由从事公共英语教育工作的教师或管理人员承担。公共英语项目均为一般项目。</w:t>
      </w:r>
    </w:p>
    <w:p w14:paraId="36AC676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lang w:val="en-US" w:eastAsia="zh-CN"/>
        </w:rPr>
        <w:t>上述1—9项目指标单列。</w:t>
      </w:r>
    </w:p>
    <w:p w14:paraId="7E963612">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hAnsi="楷体" w:eastAsia="仿宋_GB2312" w:cs="楷体"/>
          <w:b/>
          <w:bCs/>
          <w:color w:val="auto"/>
          <w:sz w:val="28"/>
          <w:szCs w:val="28"/>
        </w:rPr>
      </w:pPr>
      <w:r>
        <w:rPr>
          <w:rFonts w:hint="eastAsia" w:ascii="仿宋_GB2312" w:hAnsi="楷体" w:eastAsia="仿宋_GB2312" w:cs="楷体"/>
          <w:b/>
          <w:bCs/>
          <w:color w:val="auto"/>
          <w:sz w:val="28"/>
          <w:szCs w:val="28"/>
        </w:rPr>
        <w:t>（二）申报对象</w:t>
      </w:r>
    </w:p>
    <w:p w14:paraId="0F7F3CDD">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项目面向全校教师和教学管理工作者，申报者需符合《湖南省普通高等学校教学改革研究项目管理办法》》（湘教发〔2021〕23号）规定的条件。</w:t>
      </w:r>
    </w:p>
    <w:p w14:paraId="1316C46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项目主持人限主持 1 项教改项目，项目组成员一般不超过 5 人（含主持人）。鼓励跨单位联合申报。项目组成员（含主持）同时参与的教改项目（包括往年省级未结题项目）不得超过 2 项。</w:t>
      </w:r>
    </w:p>
    <w:p w14:paraId="40535A0F">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eastAsia="仿宋_GB2312"/>
          <w:b/>
          <w:bCs/>
          <w:color w:val="auto"/>
          <w:sz w:val="28"/>
          <w:szCs w:val="28"/>
        </w:rPr>
      </w:pPr>
      <w:r>
        <w:rPr>
          <w:rFonts w:hint="eastAsia" w:ascii="仿宋_GB2312" w:eastAsia="仿宋_GB2312"/>
          <w:b/>
          <w:bCs/>
          <w:color w:val="auto"/>
          <w:sz w:val="28"/>
          <w:szCs w:val="28"/>
        </w:rPr>
        <w:t>（三）项目类别</w:t>
      </w:r>
    </w:p>
    <w:p w14:paraId="0A43972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eastAsia="zh-CN"/>
        </w:rPr>
      </w:pPr>
      <w:r>
        <w:rPr>
          <w:rFonts w:hint="eastAsia" w:ascii="仿宋_GB2312" w:eastAsia="仿宋_GB2312"/>
          <w:color w:val="auto"/>
          <w:sz w:val="28"/>
          <w:szCs w:val="28"/>
        </w:rPr>
        <w:t>省级</w:t>
      </w:r>
      <w:r>
        <w:rPr>
          <w:rFonts w:hint="eastAsia" w:ascii="仿宋_GB2312" w:eastAsia="仿宋_GB2312"/>
          <w:color w:val="auto"/>
          <w:sz w:val="28"/>
          <w:szCs w:val="28"/>
          <w:lang w:val="en-US" w:eastAsia="zh-CN"/>
        </w:rPr>
        <w:t>推荐</w:t>
      </w:r>
      <w:r>
        <w:rPr>
          <w:rFonts w:hint="eastAsia" w:ascii="仿宋_GB2312" w:eastAsia="仿宋_GB2312"/>
          <w:color w:val="auto"/>
          <w:sz w:val="28"/>
          <w:szCs w:val="28"/>
        </w:rPr>
        <w:t>项目：拟推荐普通教育项</w:t>
      </w:r>
      <w:r>
        <w:rPr>
          <w:rFonts w:hint="eastAsia" w:ascii="仿宋_GB2312" w:eastAsia="仿宋_GB2312"/>
          <w:color w:val="auto"/>
          <w:sz w:val="28"/>
          <w:szCs w:val="28"/>
          <w:highlight w:val="none"/>
        </w:rPr>
        <w:t>目</w:t>
      </w:r>
      <w:r>
        <w:rPr>
          <w:rFonts w:hint="eastAsia" w:ascii="仿宋_GB2312" w:eastAsia="仿宋_GB2312"/>
          <w:color w:val="auto"/>
          <w:sz w:val="28"/>
          <w:szCs w:val="28"/>
          <w:highlight w:val="none"/>
          <w:lang w:val="en-US" w:eastAsia="zh-CN"/>
        </w:rPr>
        <w:t>36</w:t>
      </w:r>
      <w:r>
        <w:rPr>
          <w:rFonts w:hint="eastAsia" w:ascii="仿宋_GB2312" w:eastAsia="仿宋_GB2312"/>
          <w:color w:val="auto"/>
          <w:sz w:val="28"/>
          <w:szCs w:val="28"/>
          <w:highlight w:val="none"/>
        </w:rPr>
        <w:t>项，课程思政项目</w:t>
      </w:r>
      <w:r>
        <w:rPr>
          <w:rFonts w:hint="eastAsia" w:ascii="仿宋_GB2312" w:eastAsia="仿宋_GB2312"/>
          <w:color w:val="auto"/>
          <w:sz w:val="28"/>
          <w:szCs w:val="28"/>
          <w:highlight w:val="none"/>
          <w:lang w:val="en-US" w:eastAsia="zh-CN"/>
        </w:rPr>
        <w:t>8</w:t>
      </w:r>
      <w:r>
        <w:rPr>
          <w:rFonts w:hint="eastAsia" w:ascii="仿宋_GB2312" w:eastAsia="仿宋_GB2312"/>
          <w:color w:val="auto"/>
          <w:sz w:val="28"/>
          <w:szCs w:val="28"/>
          <w:highlight w:val="none"/>
        </w:rPr>
        <w:t>项，</w:t>
      </w:r>
      <w:r>
        <w:rPr>
          <w:rFonts w:hint="eastAsia" w:ascii="仿宋_GB2312" w:eastAsia="仿宋_GB2312"/>
          <w:color w:val="auto"/>
          <w:sz w:val="28"/>
          <w:szCs w:val="28"/>
          <w:highlight w:val="none"/>
          <w:lang w:val="en-US" w:eastAsia="zh-CN"/>
        </w:rPr>
        <w:t>基础学科项目7项，人工智能+项目5项，国防教育或国家安全教育项目1项，图书馆项目1项，</w:t>
      </w:r>
      <w:r>
        <w:rPr>
          <w:rFonts w:hint="eastAsia" w:ascii="仿宋_GB2312" w:eastAsia="仿宋_GB2312"/>
          <w:color w:val="auto"/>
          <w:sz w:val="28"/>
          <w:szCs w:val="28"/>
          <w:highlight w:val="none"/>
        </w:rPr>
        <w:t>继续教育项目</w:t>
      </w:r>
      <w:r>
        <w:rPr>
          <w:rFonts w:hint="eastAsia" w:ascii="仿宋_GB2312" w:eastAsia="仿宋_GB2312"/>
          <w:color w:val="auto"/>
          <w:sz w:val="28"/>
          <w:szCs w:val="28"/>
          <w:highlight w:val="none"/>
          <w:lang w:val="en-US" w:eastAsia="zh-CN"/>
        </w:rPr>
        <w:t>1</w:t>
      </w:r>
      <w:r>
        <w:rPr>
          <w:rFonts w:hint="eastAsia" w:ascii="仿宋_GB2312" w:eastAsia="仿宋_GB2312"/>
          <w:color w:val="auto"/>
          <w:sz w:val="28"/>
          <w:szCs w:val="28"/>
          <w:highlight w:val="none"/>
        </w:rPr>
        <w:t>项，公共英语专项</w:t>
      </w:r>
      <w:r>
        <w:rPr>
          <w:rFonts w:hint="eastAsia" w:ascii="仿宋_GB2312" w:eastAsia="仿宋_GB2312"/>
          <w:color w:val="auto"/>
          <w:sz w:val="28"/>
          <w:szCs w:val="28"/>
          <w:highlight w:val="none"/>
          <w:lang w:val="en-US" w:eastAsia="zh-CN"/>
        </w:rPr>
        <w:t>3</w:t>
      </w:r>
      <w:r>
        <w:rPr>
          <w:rFonts w:hint="eastAsia" w:ascii="仿宋_GB2312" w:eastAsia="仿宋_GB2312"/>
          <w:color w:val="auto"/>
          <w:sz w:val="28"/>
          <w:szCs w:val="28"/>
          <w:highlight w:val="none"/>
        </w:rPr>
        <w:t>项</w:t>
      </w:r>
      <w:r>
        <w:rPr>
          <w:rFonts w:hint="eastAsia" w:ascii="仿宋_GB2312" w:eastAsia="仿宋_GB2312"/>
          <w:color w:val="auto"/>
          <w:sz w:val="28"/>
          <w:szCs w:val="28"/>
          <w:highlight w:val="none"/>
          <w:lang w:eastAsia="zh-CN"/>
        </w:rPr>
        <w:t>，</w:t>
      </w:r>
      <w:r>
        <w:rPr>
          <w:rFonts w:hint="eastAsia" w:ascii="仿宋_GB2312" w:eastAsia="仿宋_GB2312"/>
          <w:color w:val="auto"/>
          <w:sz w:val="28"/>
          <w:szCs w:val="28"/>
          <w:lang w:eastAsia="zh-CN"/>
        </w:rPr>
        <w:t>奖励项目</w:t>
      </w:r>
      <w:r>
        <w:rPr>
          <w:rFonts w:hint="eastAsia" w:ascii="仿宋_GB2312" w:eastAsia="仿宋_GB2312"/>
          <w:color w:val="auto"/>
          <w:sz w:val="28"/>
          <w:szCs w:val="28"/>
          <w:lang w:val="en-US" w:eastAsia="zh-CN"/>
        </w:rPr>
        <w:t>1项</w:t>
      </w:r>
      <w:r>
        <w:rPr>
          <w:rFonts w:hint="eastAsia" w:ascii="仿宋_GB2312" w:eastAsia="仿宋_GB2312"/>
          <w:color w:val="auto"/>
          <w:sz w:val="28"/>
          <w:szCs w:val="28"/>
          <w:lang w:eastAsia="zh-CN"/>
        </w:rPr>
        <w:t>。</w:t>
      </w:r>
    </w:p>
    <w:p w14:paraId="18D8A6F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eastAsia="zh-CN"/>
        </w:rPr>
      </w:pPr>
      <w:r>
        <w:rPr>
          <w:rFonts w:hint="eastAsia" w:ascii="仿宋_GB2312" w:eastAsia="仿宋_GB2312"/>
          <w:color w:val="auto"/>
          <w:sz w:val="28"/>
          <w:szCs w:val="28"/>
        </w:rPr>
        <w:t>校级项目：</w:t>
      </w:r>
      <w:r>
        <w:rPr>
          <w:rFonts w:hint="eastAsia" w:ascii="仿宋_GB2312" w:eastAsia="仿宋_GB2312"/>
          <w:color w:val="auto"/>
          <w:sz w:val="28"/>
          <w:szCs w:val="28"/>
          <w:lang w:val="en-US" w:eastAsia="zh-CN"/>
        </w:rPr>
        <w:t>根据申报总体情况确定</w:t>
      </w:r>
      <w:r>
        <w:rPr>
          <w:rFonts w:hint="eastAsia" w:ascii="仿宋_GB2312" w:eastAsia="仿宋_GB2312"/>
          <w:color w:val="auto"/>
          <w:sz w:val="28"/>
          <w:szCs w:val="28"/>
        </w:rPr>
        <w:t>。</w:t>
      </w:r>
    </w:p>
    <w:p w14:paraId="1481DAF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_GB2312" w:eastAsia="仿宋_GB2312"/>
          <w:color w:val="auto"/>
          <w:sz w:val="28"/>
          <w:szCs w:val="28"/>
          <w:lang w:val="en-US" w:eastAsia="zh-CN"/>
        </w:rPr>
      </w:pPr>
      <w:r>
        <w:rPr>
          <w:rFonts w:hint="eastAsia" w:ascii="仿宋_GB2312" w:eastAsia="仿宋_GB2312"/>
          <w:color w:val="auto"/>
          <w:sz w:val="28"/>
          <w:szCs w:val="28"/>
        </w:rPr>
        <w:t>申请人不能直接申报省级项目，所有推荐申报的省级项目均须从校级项目中遴选产生。</w:t>
      </w:r>
      <w:r>
        <w:rPr>
          <w:rFonts w:hint="eastAsia" w:ascii="仿宋_GB2312" w:eastAsia="仿宋_GB2312"/>
          <w:color w:val="auto"/>
          <w:sz w:val="28"/>
          <w:szCs w:val="28"/>
          <w:lang w:val="en-US" w:eastAsia="zh-CN"/>
        </w:rPr>
        <w:t>凡推荐并获得省级立项的校级项目，按照省级项目标准资助，校级项目经费自筹。</w:t>
      </w:r>
    </w:p>
    <w:p w14:paraId="5F4C373F">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eastAsia="仿宋_GB2312"/>
          <w:b/>
          <w:bCs/>
          <w:color w:val="auto"/>
          <w:sz w:val="28"/>
          <w:szCs w:val="28"/>
        </w:rPr>
      </w:pPr>
      <w:r>
        <w:rPr>
          <w:rFonts w:hint="eastAsia" w:ascii="仿宋_GB2312" w:eastAsia="仿宋_GB2312"/>
          <w:b/>
          <w:bCs/>
          <w:color w:val="auto"/>
          <w:sz w:val="28"/>
          <w:szCs w:val="28"/>
        </w:rPr>
        <w:t>（</w:t>
      </w:r>
      <w:r>
        <w:rPr>
          <w:rFonts w:hint="eastAsia" w:ascii="仿宋_GB2312" w:eastAsia="仿宋_GB2312"/>
          <w:b/>
          <w:bCs/>
          <w:color w:val="auto"/>
          <w:sz w:val="28"/>
          <w:szCs w:val="28"/>
          <w:lang w:val="en-US" w:eastAsia="zh-CN"/>
        </w:rPr>
        <w:t>四</w:t>
      </w:r>
      <w:r>
        <w:rPr>
          <w:rFonts w:hint="eastAsia" w:ascii="仿宋_GB2312" w:eastAsia="仿宋_GB2312"/>
          <w:b/>
          <w:bCs/>
          <w:color w:val="auto"/>
          <w:sz w:val="28"/>
          <w:szCs w:val="28"/>
        </w:rPr>
        <w:t>）立项原则</w:t>
      </w:r>
    </w:p>
    <w:p w14:paraId="140A9F8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项目研究与改革应具备方向性、科学性、实践性、创新性、实用性。</w:t>
      </w:r>
    </w:p>
    <w:p w14:paraId="5965480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1.服务学校总体部署的原则。教学改革项目要以学校本科教学工作要点为依据，结合</w:t>
      </w:r>
      <w:r>
        <w:rPr>
          <w:rFonts w:hint="eastAsia" w:ascii="仿宋_GB2312" w:eastAsia="仿宋_GB2312"/>
          <w:color w:val="auto"/>
          <w:sz w:val="28"/>
          <w:szCs w:val="28"/>
          <w:lang w:eastAsia="zh-CN"/>
        </w:rPr>
        <w:t>学校、</w:t>
      </w:r>
      <w:r>
        <w:rPr>
          <w:rFonts w:hint="eastAsia" w:ascii="仿宋_GB2312" w:eastAsia="仿宋_GB2312"/>
          <w:color w:val="auto"/>
          <w:sz w:val="28"/>
          <w:szCs w:val="28"/>
        </w:rPr>
        <w:t>学院具体情况重点研究本科教学工作中需要改革的重要问题，其中推荐为省级的项目主要从以学校现阶段教育教学改革的重要问题和关键点为研究对象的申报项目中产生。</w:t>
      </w:r>
    </w:p>
    <w:p w14:paraId="53301B1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向教学一线倾斜的原则。各教学单位要广泛发动教师积极申报，并向教学一线教师倾斜，申报的教改项目中，教学一线教师（指在高校从事一线教学的专任教师，不含学校领导和行政部门工作人员）主持的项目应占三分之二以上。</w:t>
      </w:r>
    </w:p>
    <w:p w14:paraId="2DA45A8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3.质量优先的原则。各教学单位原则上按本通知下达的申报指标（附件2），组织好本单位的申报、初评与推荐工作，提高申报质量。学校将统一评审标准，优先立项创新性强、可行性高、论证规范，具有一定的学术价值，符合学校教学改革实际情况的项目。</w:t>
      </w:r>
    </w:p>
    <w:p w14:paraId="62F4D4AC">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_GB2312" w:eastAsia="仿宋_GB2312"/>
          <w:color w:val="auto"/>
          <w:sz w:val="28"/>
          <w:szCs w:val="28"/>
        </w:rPr>
      </w:pPr>
      <w:r>
        <w:rPr>
          <w:rFonts w:hint="eastAsia" w:ascii="仿宋" w:hAnsi="仿宋" w:eastAsia="仿宋" w:cs="仿宋"/>
          <w:b/>
          <w:bCs/>
          <w:sz w:val="28"/>
          <w:szCs w:val="28"/>
        </w:rPr>
        <w:t>学院</w:t>
      </w:r>
      <w:r>
        <w:rPr>
          <w:rFonts w:hint="eastAsia" w:ascii="仿宋" w:hAnsi="仿宋" w:eastAsia="仿宋" w:cs="仿宋"/>
          <w:b/>
          <w:bCs/>
          <w:sz w:val="28"/>
          <w:szCs w:val="28"/>
          <w:lang w:val="en-US" w:eastAsia="zh-CN"/>
        </w:rPr>
        <w:t>项目申报</w:t>
      </w:r>
      <w:r>
        <w:rPr>
          <w:rFonts w:hint="eastAsia" w:ascii="仿宋" w:hAnsi="仿宋" w:eastAsia="仿宋" w:cs="仿宋"/>
          <w:b/>
          <w:bCs/>
          <w:sz w:val="28"/>
          <w:szCs w:val="28"/>
        </w:rPr>
        <w:t>组织情况、</w:t>
      </w:r>
      <w:r>
        <w:rPr>
          <w:rFonts w:hint="eastAsia" w:ascii="仿宋" w:hAnsi="仿宋" w:eastAsia="仿宋" w:cs="仿宋"/>
          <w:b/>
          <w:bCs/>
          <w:sz w:val="28"/>
          <w:szCs w:val="28"/>
          <w:lang w:val="en-US" w:eastAsia="zh-CN"/>
        </w:rPr>
        <w:t>项目的立项结题</w:t>
      </w:r>
      <w:r>
        <w:rPr>
          <w:rFonts w:hint="eastAsia" w:ascii="仿宋" w:hAnsi="仿宋" w:eastAsia="仿宋" w:cs="仿宋"/>
          <w:b/>
          <w:bCs/>
          <w:sz w:val="28"/>
          <w:szCs w:val="28"/>
        </w:rPr>
        <w:t>情况与学院年终绩效考核直接挂钩。</w:t>
      </w:r>
    </w:p>
    <w:p w14:paraId="57BBD49E">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eastAsia="仿宋_GB2312"/>
          <w:b/>
          <w:bCs/>
          <w:color w:val="auto"/>
          <w:sz w:val="28"/>
          <w:szCs w:val="28"/>
        </w:rPr>
      </w:pPr>
      <w:r>
        <w:rPr>
          <w:rFonts w:hint="eastAsia" w:ascii="仿宋_GB2312" w:eastAsia="仿宋_GB2312"/>
          <w:b/>
          <w:bCs/>
          <w:color w:val="auto"/>
          <w:sz w:val="28"/>
          <w:szCs w:val="28"/>
        </w:rPr>
        <w:t>（</w:t>
      </w:r>
      <w:r>
        <w:rPr>
          <w:rFonts w:hint="eastAsia" w:ascii="仿宋_GB2312" w:eastAsia="仿宋_GB2312"/>
          <w:b/>
          <w:bCs/>
          <w:color w:val="auto"/>
          <w:sz w:val="28"/>
          <w:szCs w:val="28"/>
          <w:lang w:val="en-US" w:eastAsia="zh-CN"/>
        </w:rPr>
        <w:t>五</w:t>
      </w:r>
      <w:r>
        <w:rPr>
          <w:rFonts w:hint="eastAsia" w:ascii="仿宋_GB2312" w:eastAsia="仿宋_GB2312"/>
          <w:b/>
          <w:bCs/>
          <w:color w:val="auto"/>
          <w:sz w:val="28"/>
          <w:szCs w:val="28"/>
        </w:rPr>
        <w:t>）申报资格</w:t>
      </w:r>
    </w:p>
    <w:p w14:paraId="49E6169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1.项目申报主持人限主持1项教改项目。近三年内有曾被撤销项目的主持人不得作为主持人和参与者申报本次项目。</w:t>
      </w:r>
    </w:p>
    <w:p w14:paraId="0A95AB56">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2.申报时不分重点和一般项目</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鼓励跨学院和专业的项目申报</w:t>
      </w:r>
      <w:r>
        <w:rPr>
          <w:rFonts w:hint="eastAsia" w:ascii="仿宋_GB2312" w:eastAsia="仿宋_GB2312"/>
          <w:color w:val="auto"/>
          <w:sz w:val="28"/>
          <w:szCs w:val="28"/>
        </w:rPr>
        <w:t>，届时学校将组织专家集中评审，根据申报质量，择优确定重点项目。</w:t>
      </w:r>
    </w:p>
    <w:p w14:paraId="34238B48">
      <w:pPr>
        <w:keepNext w:val="0"/>
        <w:keepLines w:val="0"/>
        <w:widowControl/>
        <w:suppressLineNumbers w:val="0"/>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3.各学院项目推荐向青年骨干教师倾斜，原则上40 岁以下教师</w:t>
      </w:r>
    </w:p>
    <w:p w14:paraId="35277987">
      <w:pPr>
        <w:keepNext w:val="0"/>
        <w:keepLines w:val="0"/>
        <w:widowControl/>
        <w:suppressLineNumbers w:val="0"/>
        <w:jc w:val="left"/>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不低于 50%。</w:t>
      </w:r>
      <w:bookmarkStart w:id="0" w:name="_GoBack"/>
      <w:bookmarkEnd w:id="0"/>
    </w:p>
    <w:p w14:paraId="24F4C330">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eastAsia="仿宋_GB2312"/>
          <w:b/>
          <w:bCs/>
          <w:color w:val="auto"/>
          <w:sz w:val="28"/>
          <w:szCs w:val="28"/>
        </w:rPr>
      </w:pPr>
      <w:r>
        <w:rPr>
          <w:rFonts w:hint="eastAsia" w:ascii="仿宋_GB2312" w:eastAsia="仿宋_GB2312"/>
          <w:b/>
          <w:bCs/>
          <w:color w:val="auto"/>
          <w:sz w:val="28"/>
          <w:szCs w:val="28"/>
        </w:rPr>
        <w:t>（</w:t>
      </w:r>
      <w:r>
        <w:rPr>
          <w:rFonts w:hint="eastAsia" w:ascii="仿宋_GB2312" w:eastAsia="仿宋_GB2312"/>
          <w:b/>
          <w:bCs/>
          <w:color w:val="auto"/>
          <w:sz w:val="28"/>
          <w:szCs w:val="28"/>
          <w:lang w:val="en-US" w:eastAsia="zh-CN"/>
        </w:rPr>
        <w:t>六</w:t>
      </w:r>
      <w:r>
        <w:rPr>
          <w:rFonts w:hint="eastAsia" w:ascii="仿宋_GB2312" w:eastAsia="仿宋_GB2312"/>
          <w:b/>
          <w:bCs/>
          <w:color w:val="auto"/>
          <w:sz w:val="28"/>
          <w:szCs w:val="28"/>
        </w:rPr>
        <w:t>）申报材料要求及程序</w:t>
      </w:r>
    </w:p>
    <w:p w14:paraId="742AB28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1.申请者须填写《202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年吉首大学校级教学改革研究项目申请书》一式一份。</w:t>
      </w:r>
    </w:p>
    <w:p w14:paraId="52AE7B76">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2.各单位经评审后，按指标数择优推荐到学校</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按照推荐顺序排序</w:t>
      </w:r>
      <w:r>
        <w:rPr>
          <w:rFonts w:hint="eastAsia" w:ascii="仿宋_GB2312" w:eastAsia="仿宋_GB2312"/>
          <w:color w:val="auto"/>
          <w:sz w:val="28"/>
          <w:szCs w:val="28"/>
        </w:rPr>
        <w:t>并填写《202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年吉首大学教学改革研究项目申请汇总表》一份。</w:t>
      </w:r>
    </w:p>
    <w:p w14:paraId="1863F15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3.经学校评审后推荐申报省级项目的再按要求填写省级教改项目申报材料。</w:t>
      </w:r>
    </w:p>
    <w:p w14:paraId="4186BBF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lang w:val="en-US" w:eastAsia="zh-CN"/>
        </w:rPr>
        <w:t>二</w:t>
      </w:r>
      <w:r>
        <w:rPr>
          <w:rFonts w:hint="eastAsia" w:ascii="黑体" w:hAnsi="黑体" w:eastAsia="黑体" w:cs="黑体"/>
          <w:color w:val="auto"/>
          <w:sz w:val="28"/>
          <w:szCs w:val="28"/>
        </w:rPr>
        <w:t>、</w:t>
      </w:r>
      <w:r>
        <w:rPr>
          <w:rFonts w:hint="eastAsia" w:ascii="黑体" w:hAnsi="黑体" w:eastAsia="黑体" w:cs="黑体"/>
          <w:color w:val="auto"/>
          <w:sz w:val="28"/>
          <w:szCs w:val="28"/>
          <w:lang w:eastAsia="zh-CN"/>
        </w:rPr>
        <w:t>年度</w:t>
      </w:r>
      <w:r>
        <w:rPr>
          <w:rFonts w:hint="eastAsia" w:ascii="黑体" w:hAnsi="黑体" w:eastAsia="黑体" w:cs="黑体"/>
          <w:color w:val="auto"/>
          <w:sz w:val="28"/>
          <w:szCs w:val="28"/>
        </w:rPr>
        <w:t>检查和结题工作</w:t>
      </w:r>
    </w:p>
    <w:p w14:paraId="70B97E22">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ascii="仿宋_GB2312" w:eastAsia="仿宋_GB2312"/>
          <w:b/>
          <w:color w:val="auto"/>
          <w:sz w:val="28"/>
          <w:szCs w:val="28"/>
        </w:rPr>
      </w:pPr>
      <w:r>
        <w:rPr>
          <w:rFonts w:hint="eastAsia" w:ascii="仿宋_GB2312" w:eastAsia="仿宋_GB2312"/>
          <w:b/>
          <w:color w:val="auto"/>
          <w:sz w:val="28"/>
          <w:szCs w:val="28"/>
        </w:rPr>
        <w:t>（</w:t>
      </w:r>
      <w:r>
        <w:rPr>
          <w:rFonts w:hint="eastAsia" w:ascii="仿宋_GB2312" w:eastAsia="仿宋_GB2312"/>
          <w:b/>
          <w:color w:val="auto"/>
          <w:sz w:val="28"/>
          <w:szCs w:val="28"/>
          <w:lang w:eastAsia="zh-CN"/>
        </w:rPr>
        <w:t>一</w:t>
      </w:r>
      <w:r>
        <w:rPr>
          <w:rFonts w:hint="eastAsia" w:ascii="仿宋_GB2312" w:eastAsia="仿宋_GB2312"/>
          <w:b/>
          <w:color w:val="auto"/>
          <w:sz w:val="28"/>
          <w:szCs w:val="28"/>
        </w:rPr>
        <w:t>）省级项目的</w:t>
      </w:r>
      <w:r>
        <w:rPr>
          <w:rFonts w:hint="eastAsia" w:ascii="仿宋_GB2312" w:eastAsia="仿宋_GB2312"/>
          <w:b/>
          <w:color w:val="auto"/>
          <w:sz w:val="28"/>
          <w:szCs w:val="28"/>
          <w:lang w:eastAsia="zh-CN"/>
        </w:rPr>
        <w:t>年度</w:t>
      </w:r>
      <w:r>
        <w:rPr>
          <w:rFonts w:hint="eastAsia" w:ascii="仿宋_GB2312" w:eastAsia="仿宋_GB2312"/>
          <w:b/>
          <w:color w:val="auto"/>
          <w:sz w:val="28"/>
          <w:szCs w:val="28"/>
        </w:rPr>
        <w:t>检查和结题</w:t>
      </w:r>
    </w:p>
    <w:p w14:paraId="5931577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1.2020年立项的项目须在2025年完成结题，</w:t>
      </w:r>
      <w:r>
        <w:rPr>
          <w:rFonts w:hint="eastAsia" w:ascii="仿宋_GB2312" w:eastAsia="仿宋_GB2312"/>
          <w:color w:val="auto"/>
          <w:sz w:val="28"/>
          <w:szCs w:val="28"/>
        </w:rPr>
        <w:t>不能结题的应填写“申请撤销报告”说明原因。</w:t>
      </w:r>
      <w:r>
        <w:rPr>
          <w:rFonts w:hint="eastAsia" w:ascii="仿宋_GB2312" w:eastAsia="仿宋_GB2312"/>
          <w:color w:val="auto"/>
          <w:sz w:val="28"/>
          <w:szCs w:val="28"/>
          <w:lang w:val="en-US" w:eastAsia="zh-CN"/>
        </w:rPr>
        <w:t>对评审结果为“暂缓通过”或未提交结题材料的2020年立项项目，均予以撤项。</w:t>
      </w:r>
    </w:p>
    <w:p w14:paraId="50934D3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lang w:val="en-US" w:eastAsia="zh-CN"/>
        </w:rPr>
        <w:t>2.</w:t>
      </w:r>
      <w:r>
        <w:rPr>
          <w:rFonts w:hint="eastAsia" w:ascii="仿宋_GB2312" w:eastAsia="仿宋_GB2312"/>
          <w:color w:val="auto"/>
          <w:sz w:val="28"/>
          <w:szCs w:val="28"/>
        </w:rPr>
        <w:t>20</w:t>
      </w:r>
      <w:r>
        <w:rPr>
          <w:rFonts w:hint="eastAsia" w:ascii="仿宋_GB2312" w:eastAsia="仿宋_GB2312"/>
          <w:color w:val="auto"/>
          <w:sz w:val="28"/>
          <w:szCs w:val="28"/>
          <w:lang w:val="en-US" w:eastAsia="zh-CN"/>
        </w:rPr>
        <w:t>21</w:t>
      </w:r>
      <w:r>
        <w:rPr>
          <w:rFonts w:hint="eastAsia" w:ascii="仿宋_GB2312" w:eastAsia="仿宋_GB2312"/>
          <w:color w:val="auto"/>
          <w:sz w:val="28"/>
          <w:szCs w:val="28"/>
        </w:rPr>
        <w:t>年立项的项目应按要求报送结题材料，不能按时结题的应填写“申请延期报告”。</w:t>
      </w:r>
    </w:p>
    <w:p w14:paraId="572C6F2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hAnsiTheme="minorHAnsi" w:cstheme="minorBidi"/>
          <w:color w:val="auto"/>
          <w:kern w:val="2"/>
          <w:sz w:val="28"/>
          <w:szCs w:val="28"/>
          <w:lang w:val="en-US" w:eastAsia="zh-CN" w:bidi="ar-SA"/>
        </w:rPr>
        <w:t>3.</w:t>
      </w:r>
      <w:r>
        <w:rPr>
          <w:rFonts w:hint="eastAsia" w:ascii="仿宋_GB2312" w:eastAsia="仿宋_GB2312"/>
          <w:color w:val="auto"/>
          <w:sz w:val="28"/>
          <w:szCs w:val="28"/>
          <w:lang w:val="en-US" w:eastAsia="zh-CN"/>
        </w:rPr>
        <w:t>所有</w:t>
      </w:r>
      <w:r>
        <w:rPr>
          <w:rFonts w:hint="eastAsia" w:ascii="仿宋_GB2312" w:eastAsia="仿宋_GB2312"/>
          <w:b/>
          <w:bCs/>
          <w:color w:val="auto"/>
          <w:sz w:val="28"/>
          <w:szCs w:val="28"/>
          <w:lang w:val="en-US" w:eastAsia="zh-CN"/>
        </w:rPr>
        <w:t>未</w:t>
      </w:r>
      <w:r>
        <w:rPr>
          <w:rFonts w:hint="eastAsia" w:ascii="仿宋_GB2312" w:eastAsia="仿宋_GB2312"/>
          <w:b/>
          <w:bCs/>
          <w:color w:val="auto"/>
          <w:sz w:val="28"/>
          <w:szCs w:val="28"/>
          <w:lang w:eastAsia="zh-CN"/>
        </w:rPr>
        <w:t>结题的省级</w:t>
      </w:r>
      <w:r>
        <w:rPr>
          <w:rFonts w:hint="eastAsia" w:ascii="仿宋_GB2312" w:eastAsia="仿宋_GB2312"/>
          <w:b/>
          <w:bCs/>
          <w:color w:val="auto"/>
          <w:sz w:val="28"/>
          <w:szCs w:val="28"/>
        </w:rPr>
        <w:t>项目</w:t>
      </w:r>
      <w:r>
        <w:rPr>
          <w:rFonts w:hint="eastAsia" w:ascii="仿宋_GB2312" w:eastAsia="仿宋_GB2312"/>
          <w:color w:val="auto"/>
          <w:sz w:val="28"/>
          <w:szCs w:val="28"/>
        </w:rPr>
        <w:t>应填写</w:t>
      </w:r>
      <w:r>
        <w:rPr>
          <w:rFonts w:hint="eastAsia" w:ascii="仿宋_GB2312" w:eastAsia="仿宋_GB2312"/>
          <w:color w:val="auto"/>
          <w:sz w:val="28"/>
          <w:szCs w:val="28"/>
          <w:lang w:eastAsia="zh-CN"/>
        </w:rPr>
        <w:t>年度</w:t>
      </w:r>
      <w:r>
        <w:rPr>
          <w:rFonts w:hint="eastAsia" w:ascii="仿宋_GB2312" w:eastAsia="仿宋_GB2312"/>
          <w:color w:val="auto"/>
          <w:sz w:val="28"/>
          <w:szCs w:val="28"/>
        </w:rPr>
        <w:t>检查</w:t>
      </w:r>
      <w:r>
        <w:rPr>
          <w:rFonts w:hint="eastAsia" w:ascii="仿宋_GB2312" w:eastAsia="仿宋_GB2312"/>
          <w:color w:val="auto"/>
          <w:sz w:val="28"/>
          <w:szCs w:val="28"/>
          <w:lang w:eastAsia="zh-CN"/>
        </w:rPr>
        <w:t>表（附件</w:t>
      </w:r>
      <w:r>
        <w:rPr>
          <w:rFonts w:hint="eastAsia" w:ascii="仿宋_GB2312" w:eastAsia="仿宋_GB2312"/>
          <w:color w:val="auto"/>
          <w:sz w:val="28"/>
          <w:szCs w:val="28"/>
          <w:lang w:val="en-US" w:eastAsia="zh-CN"/>
        </w:rPr>
        <w:t>9</w:t>
      </w:r>
      <w:r>
        <w:rPr>
          <w:rFonts w:hint="eastAsia" w:ascii="仿宋_GB2312" w:eastAsia="仿宋_GB2312"/>
          <w:color w:val="auto"/>
          <w:sz w:val="28"/>
          <w:szCs w:val="28"/>
          <w:lang w:eastAsia="zh-CN"/>
        </w:rPr>
        <w:t>）</w:t>
      </w:r>
      <w:r>
        <w:rPr>
          <w:rFonts w:hint="eastAsia" w:ascii="仿宋_GB2312" w:eastAsia="仿宋_GB2312"/>
          <w:color w:val="auto"/>
          <w:sz w:val="28"/>
          <w:szCs w:val="28"/>
        </w:rPr>
        <w:t>，检查内容主要包括：研究方案是否按计划开展，研究进度是否符合要求，经费使用是否合理合规，是否有阶段性研究成果等。由学院统一报送教务处。</w:t>
      </w:r>
    </w:p>
    <w:p w14:paraId="524A48E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对于没有进行实质性研究的项目、无故不接受年度检查或年度检查不合格的项目，进行通报批评并停止经费使用。</w:t>
      </w:r>
    </w:p>
    <w:p w14:paraId="43C122B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hAnsiTheme="minorHAnsi" w:cstheme="minorBidi"/>
          <w:color w:val="auto"/>
          <w:kern w:val="2"/>
          <w:sz w:val="28"/>
          <w:szCs w:val="28"/>
          <w:lang w:val="en-US" w:eastAsia="zh-CN" w:bidi="ar-SA"/>
        </w:rPr>
        <w:t>4.</w:t>
      </w:r>
      <w:r>
        <w:rPr>
          <w:rFonts w:hint="eastAsia" w:ascii="仿宋_GB2312" w:eastAsia="仿宋_GB2312"/>
          <w:color w:val="auto"/>
          <w:sz w:val="28"/>
          <w:szCs w:val="28"/>
        </w:rPr>
        <w:t>省级教改</w:t>
      </w:r>
      <w:r>
        <w:rPr>
          <w:rFonts w:hint="eastAsia" w:ascii="仿宋_GB2312" w:eastAsia="仿宋_GB2312"/>
          <w:b/>
          <w:bCs/>
          <w:color w:val="auto"/>
          <w:sz w:val="28"/>
          <w:szCs w:val="28"/>
        </w:rPr>
        <w:t>申请项目结题</w:t>
      </w:r>
      <w:r>
        <w:rPr>
          <w:rFonts w:hint="eastAsia" w:ascii="仿宋_GB2312" w:eastAsia="仿宋_GB2312"/>
          <w:color w:val="auto"/>
          <w:sz w:val="28"/>
          <w:szCs w:val="28"/>
        </w:rPr>
        <w:t>应填写《2025年湖南省普通本科高校教学改革研究项目结题报告书》（附件</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并提供以下佐证材料：项目申请书、成果主件及附件（反映成果的教学方案、论文）、研究报告、实践效果评议材料。项目原则上应按申报计划完成预期的研究和改革实践任务，取得预期成果，最终成果与批准立项时的预期成果相符。</w:t>
      </w:r>
      <w:r>
        <w:rPr>
          <w:rFonts w:hint="eastAsia" w:ascii="仿宋_GB2312" w:eastAsia="仿宋_GB2312"/>
          <w:color w:val="auto"/>
          <w:sz w:val="28"/>
          <w:szCs w:val="28"/>
          <w:lang w:val="en-US" w:eastAsia="zh-CN"/>
        </w:rPr>
        <w:t>相关材料</w:t>
      </w:r>
      <w:r>
        <w:rPr>
          <w:rFonts w:hint="eastAsia" w:ascii="仿宋_GB2312" w:eastAsia="仿宋_GB2312"/>
          <w:color w:val="auto"/>
          <w:sz w:val="28"/>
          <w:szCs w:val="28"/>
        </w:rPr>
        <w:t>经学校审核同意后上报（项目结题材料不退，请自行留存备份）。</w:t>
      </w:r>
    </w:p>
    <w:p w14:paraId="692FF70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2" w:firstLineChars="200"/>
        <w:textAlignment w:val="auto"/>
        <w:rPr>
          <w:rFonts w:ascii="仿宋_GB2312" w:eastAsia="仿宋_GB2312"/>
          <w:b/>
          <w:color w:val="auto"/>
          <w:sz w:val="28"/>
          <w:szCs w:val="28"/>
        </w:rPr>
      </w:pPr>
      <w:r>
        <w:rPr>
          <w:rFonts w:hint="eastAsia" w:ascii="仿宋_GB2312" w:eastAsia="仿宋_GB2312"/>
          <w:b/>
          <w:color w:val="auto"/>
          <w:sz w:val="28"/>
          <w:szCs w:val="28"/>
        </w:rPr>
        <w:t>（</w:t>
      </w:r>
      <w:r>
        <w:rPr>
          <w:rFonts w:hint="eastAsia" w:ascii="仿宋_GB2312" w:eastAsia="仿宋_GB2312"/>
          <w:b/>
          <w:color w:val="auto"/>
          <w:sz w:val="28"/>
          <w:szCs w:val="28"/>
          <w:lang w:eastAsia="zh-CN"/>
        </w:rPr>
        <w:t>二</w:t>
      </w:r>
      <w:r>
        <w:rPr>
          <w:rFonts w:hint="eastAsia" w:ascii="仿宋_GB2312" w:eastAsia="仿宋_GB2312"/>
          <w:b/>
          <w:color w:val="auto"/>
          <w:sz w:val="28"/>
          <w:szCs w:val="28"/>
        </w:rPr>
        <w:t>）校级项目的</w:t>
      </w:r>
      <w:r>
        <w:rPr>
          <w:rFonts w:hint="eastAsia" w:ascii="仿宋_GB2312" w:eastAsia="仿宋_GB2312"/>
          <w:b/>
          <w:color w:val="auto"/>
          <w:sz w:val="28"/>
          <w:szCs w:val="28"/>
          <w:lang w:eastAsia="zh-CN"/>
        </w:rPr>
        <w:t>年度</w:t>
      </w:r>
      <w:r>
        <w:rPr>
          <w:rFonts w:hint="eastAsia" w:ascii="仿宋_GB2312" w:eastAsia="仿宋_GB2312"/>
          <w:b/>
          <w:color w:val="auto"/>
          <w:sz w:val="28"/>
          <w:szCs w:val="28"/>
        </w:rPr>
        <w:t>检查和结题</w:t>
      </w:r>
    </w:p>
    <w:p w14:paraId="35AF399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及之前</w:t>
      </w:r>
      <w:r>
        <w:rPr>
          <w:rFonts w:hint="eastAsia" w:ascii="仿宋_GB2312" w:eastAsia="仿宋_GB2312"/>
          <w:color w:val="auto"/>
          <w:sz w:val="28"/>
          <w:szCs w:val="28"/>
        </w:rPr>
        <w:t>立项的教改项目须填写《吉首大学校级教学改革研究项目结题报告书》一份，并附佐证材料，结题内容</w:t>
      </w:r>
      <w:r>
        <w:rPr>
          <w:rFonts w:hint="eastAsia" w:ascii="仿宋_GB2312" w:eastAsia="仿宋_GB2312"/>
          <w:color w:val="auto"/>
          <w:sz w:val="28"/>
          <w:szCs w:val="28"/>
          <w:lang w:val="en-US" w:eastAsia="zh-CN"/>
        </w:rPr>
        <w:t>须</w:t>
      </w:r>
      <w:r>
        <w:rPr>
          <w:rFonts w:hint="eastAsia" w:ascii="仿宋_GB2312" w:eastAsia="仿宋_GB2312"/>
          <w:color w:val="auto"/>
          <w:sz w:val="28"/>
          <w:szCs w:val="28"/>
        </w:rPr>
        <w:t>与该项目立项申请书的预期结题内容基本一致。各单位审核后，填写《吉首大学教学改革研究项目结题汇总表》</w:t>
      </w:r>
      <w:r>
        <w:rPr>
          <w:rFonts w:hint="eastAsia" w:ascii="仿宋_GB2312" w:eastAsia="仿宋_GB2312"/>
          <w:color w:val="auto"/>
          <w:sz w:val="28"/>
          <w:szCs w:val="28"/>
          <w:lang w:val="en-US" w:eastAsia="zh-CN"/>
        </w:rPr>
        <w:t>一并上报</w:t>
      </w:r>
      <w:r>
        <w:rPr>
          <w:rFonts w:hint="eastAsia" w:ascii="仿宋_GB2312" w:eastAsia="仿宋_GB2312"/>
          <w:color w:val="auto"/>
          <w:sz w:val="28"/>
          <w:szCs w:val="28"/>
        </w:rPr>
        <w:t>。</w:t>
      </w:r>
    </w:p>
    <w:p w14:paraId="0635421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highlight w:val="none"/>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年立项项目不能按时结题的，须填写</w:t>
      </w:r>
      <w:r>
        <w:rPr>
          <w:rFonts w:hint="eastAsia" w:ascii="仿宋_GB2312" w:eastAsia="仿宋_GB2312"/>
          <w:color w:val="auto"/>
          <w:sz w:val="28"/>
          <w:szCs w:val="28"/>
          <w:highlight w:val="none"/>
        </w:rPr>
        <w:t>《校级教改课题</w:t>
      </w:r>
      <w:r>
        <w:rPr>
          <w:rFonts w:hint="eastAsia" w:ascii="仿宋_GB2312" w:eastAsia="仿宋_GB2312"/>
          <w:color w:val="auto"/>
          <w:sz w:val="28"/>
          <w:szCs w:val="28"/>
          <w:highlight w:val="none"/>
          <w:lang w:val="en-US" w:eastAsia="zh-CN"/>
        </w:rPr>
        <w:t>延期结题申请</w:t>
      </w:r>
      <w:r>
        <w:rPr>
          <w:rFonts w:hint="eastAsia" w:ascii="仿宋_GB2312" w:eastAsia="仿宋_GB2312"/>
          <w:color w:val="auto"/>
          <w:sz w:val="28"/>
          <w:szCs w:val="28"/>
          <w:highlight w:val="none"/>
        </w:rPr>
        <w:t>》。</w:t>
      </w:r>
    </w:p>
    <w:p w14:paraId="0D3CB13E">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20</w:t>
      </w:r>
      <w:r>
        <w:rPr>
          <w:rFonts w:hint="eastAsia" w:ascii="仿宋_GB2312" w:eastAsia="仿宋_GB2312"/>
          <w:color w:val="auto"/>
          <w:sz w:val="28"/>
          <w:szCs w:val="28"/>
          <w:lang w:val="en-US" w:eastAsia="zh-CN"/>
        </w:rPr>
        <w:t>22</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及之前</w:t>
      </w:r>
      <w:r>
        <w:rPr>
          <w:rFonts w:hint="eastAsia" w:ascii="仿宋_GB2312" w:eastAsia="仿宋_GB2312"/>
          <w:color w:val="auto"/>
          <w:sz w:val="28"/>
          <w:szCs w:val="28"/>
        </w:rPr>
        <w:t>延期结题项目不得再次延期，不能结题的应填写《关于申请撤销教改课题立项的报告》说明原因，学校审核后视情况予以撤销。</w:t>
      </w:r>
    </w:p>
    <w:p w14:paraId="651D060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_GB2312" w:eastAsia="仿宋_GB2312"/>
          <w:color w:val="auto"/>
          <w:sz w:val="28"/>
          <w:szCs w:val="28"/>
          <w:lang w:val="en-US" w:eastAsia="zh-CN"/>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年立项的校级项目</w:t>
      </w:r>
      <w:r>
        <w:rPr>
          <w:rFonts w:hint="eastAsia" w:ascii="仿宋_GB2312" w:eastAsia="仿宋_GB2312"/>
          <w:color w:val="auto"/>
          <w:sz w:val="28"/>
          <w:szCs w:val="28"/>
          <w:lang w:eastAsia="zh-CN"/>
        </w:rPr>
        <w:t>年度</w:t>
      </w:r>
      <w:r>
        <w:rPr>
          <w:rFonts w:hint="eastAsia" w:ascii="仿宋_GB2312" w:eastAsia="仿宋_GB2312"/>
          <w:color w:val="auto"/>
          <w:sz w:val="28"/>
          <w:szCs w:val="28"/>
        </w:rPr>
        <w:t>检查委托各学院自行组织。</w:t>
      </w:r>
    </w:p>
    <w:p w14:paraId="65D7432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lang w:val="en-US" w:eastAsia="zh-CN"/>
        </w:rPr>
        <w:t>三</w:t>
      </w:r>
      <w:r>
        <w:rPr>
          <w:rFonts w:hint="eastAsia" w:ascii="黑体" w:hAnsi="黑体" w:eastAsia="黑体" w:cs="黑体"/>
          <w:color w:val="auto"/>
          <w:sz w:val="28"/>
          <w:szCs w:val="28"/>
        </w:rPr>
        <w:t>、</w:t>
      </w:r>
      <w:r>
        <w:rPr>
          <w:rFonts w:hint="eastAsia" w:ascii="黑体" w:hAnsi="黑体" w:eastAsia="黑体" w:cs="黑体"/>
          <w:color w:val="auto"/>
          <w:sz w:val="28"/>
          <w:szCs w:val="28"/>
          <w:lang w:val="en-US" w:eastAsia="zh-CN"/>
        </w:rPr>
        <w:t>优秀典型案例征集</w:t>
      </w:r>
    </w:p>
    <w:p w14:paraId="0DE46BD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为更好的总结推广教研教改取得的典型经验，请各</w:t>
      </w:r>
      <w:r>
        <w:rPr>
          <w:rFonts w:hint="eastAsia" w:ascii="仿宋_GB2312" w:eastAsia="仿宋_GB2312"/>
          <w:color w:val="auto"/>
          <w:sz w:val="28"/>
          <w:szCs w:val="28"/>
          <w:lang w:val="en-US" w:eastAsia="zh-CN"/>
        </w:rPr>
        <w:t>学院将</w:t>
      </w:r>
      <w:r>
        <w:rPr>
          <w:rFonts w:hint="eastAsia" w:ascii="仿宋_GB2312" w:eastAsia="仿宋_GB2312"/>
          <w:color w:val="auto"/>
          <w:sz w:val="28"/>
          <w:szCs w:val="28"/>
        </w:rPr>
        <w:t>2025年</w:t>
      </w:r>
      <w:r>
        <w:rPr>
          <w:rFonts w:hint="eastAsia" w:ascii="仿宋_GB2312" w:eastAsia="仿宋_GB2312"/>
          <w:color w:val="auto"/>
          <w:sz w:val="28"/>
          <w:szCs w:val="28"/>
          <w:lang w:eastAsia="zh-CN"/>
        </w:rPr>
        <w:t>所有</w:t>
      </w:r>
      <w:r>
        <w:rPr>
          <w:rFonts w:hint="eastAsia" w:ascii="仿宋_GB2312" w:eastAsia="仿宋_GB2312"/>
          <w:color w:val="auto"/>
          <w:sz w:val="28"/>
          <w:szCs w:val="28"/>
        </w:rPr>
        <w:t>申请结题的</w:t>
      </w:r>
      <w:r>
        <w:rPr>
          <w:rFonts w:hint="eastAsia" w:ascii="仿宋_GB2312" w:eastAsia="仿宋_GB2312"/>
          <w:color w:val="auto"/>
          <w:sz w:val="28"/>
          <w:szCs w:val="28"/>
          <w:lang w:eastAsia="zh-CN"/>
        </w:rPr>
        <w:t>省级</w:t>
      </w:r>
      <w:r>
        <w:rPr>
          <w:rFonts w:hint="eastAsia" w:ascii="仿宋_GB2312" w:eastAsia="仿宋_GB2312"/>
          <w:color w:val="auto"/>
          <w:sz w:val="28"/>
          <w:szCs w:val="28"/>
        </w:rPr>
        <w:t>项目</w:t>
      </w:r>
      <w:r>
        <w:rPr>
          <w:rFonts w:hint="eastAsia" w:ascii="仿宋_GB2312" w:eastAsia="仿宋_GB2312"/>
          <w:color w:val="auto"/>
          <w:sz w:val="28"/>
          <w:szCs w:val="28"/>
          <w:lang w:eastAsia="zh-CN"/>
        </w:rPr>
        <w:t>做为</w:t>
      </w:r>
      <w:r>
        <w:rPr>
          <w:rFonts w:hint="eastAsia" w:ascii="仿宋_GB2312" w:eastAsia="仿宋_GB2312"/>
          <w:color w:val="auto"/>
          <w:sz w:val="28"/>
          <w:szCs w:val="28"/>
        </w:rPr>
        <w:t>典型分享项目</w:t>
      </w:r>
      <w:r>
        <w:rPr>
          <w:rFonts w:hint="eastAsia" w:ascii="仿宋_GB2312" w:eastAsia="仿宋_GB2312"/>
          <w:color w:val="auto"/>
          <w:sz w:val="28"/>
          <w:szCs w:val="28"/>
          <w:lang w:eastAsia="zh-CN"/>
        </w:rPr>
        <w:t>提交材料，</w:t>
      </w:r>
      <w:r>
        <w:rPr>
          <w:rFonts w:hint="eastAsia" w:ascii="仿宋_GB2312" w:eastAsia="仿宋_GB2312"/>
          <w:color w:val="auto"/>
          <w:sz w:val="28"/>
          <w:szCs w:val="28"/>
          <w:lang w:val="en-US" w:eastAsia="zh-CN"/>
        </w:rPr>
        <w:t>并填写典型项目成果简介（附件7）和典型项目汇总表（附件8），每个项目简介控制在5000字以内。</w:t>
      </w:r>
      <w:r>
        <w:rPr>
          <w:rFonts w:hint="eastAsia" w:ascii="仿宋_GB2312" w:eastAsia="仿宋_GB2312"/>
          <w:color w:val="auto"/>
          <w:sz w:val="28"/>
          <w:szCs w:val="28"/>
          <w:lang w:eastAsia="zh-CN"/>
        </w:rPr>
        <w:t>学院</w:t>
      </w:r>
      <w:r>
        <w:rPr>
          <w:rFonts w:hint="eastAsia" w:ascii="仿宋_GB2312" w:eastAsia="仿宋_GB2312"/>
          <w:color w:val="auto"/>
          <w:sz w:val="28"/>
          <w:szCs w:val="28"/>
        </w:rPr>
        <w:t>要引导教师特别是青年教师及时关注湖南省教研教改管理系统和各校级公布网址，学习典型经验，引领推动教育教学改革，提高教育教学质量。</w:t>
      </w:r>
    </w:p>
    <w:p w14:paraId="5D23154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黑体" w:hAnsi="黑体" w:eastAsia="黑体" w:cs="黑体"/>
          <w:color w:val="auto"/>
          <w:sz w:val="28"/>
          <w:szCs w:val="28"/>
        </w:rPr>
      </w:pPr>
      <w:r>
        <w:rPr>
          <w:rFonts w:hint="eastAsia" w:ascii="黑体" w:hAnsi="黑体" w:eastAsia="黑体" w:cs="黑体"/>
          <w:color w:val="auto"/>
          <w:sz w:val="28"/>
          <w:szCs w:val="28"/>
          <w:lang w:val="en-US" w:eastAsia="zh-CN"/>
        </w:rPr>
        <w:t>四</w:t>
      </w:r>
      <w:r>
        <w:rPr>
          <w:rFonts w:hint="eastAsia" w:ascii="黑体" w:hAnsi="黑体" w:eastAsia="黑体" w:cs="黑体"/>
          <w:color w:val="auto"/>
          <w:sz w:val="28"/>
          <w:szCs w:val="28"/>
        </w:rPr>
        <w:t>、材料报送</w:t>
      </w:r>
    </w:p>
    <w:p w14:paraId="37C45165">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所有材料均提交电子版，不需要提交纸质材料。申请书和结题报告</w:t>
      </w:r>
      <w:r>
        <w:rPr>
          <w:rFonts w:hint="eastAsia" w:ascii="仿宋_GB2312" w:eastAsia="仿宋_GB2312"/>
          <w:color w:val="auto"/>
          <w:sz w:val="28"/>
          <w:szCs w:val="28"/>
          <w:lang w:val="en-US" w:eastAsia="zh-CN"/>
        </w:rPr>
        <w:t>签字</w:t>
      </w:r>
      <w:r>
        <w:rPr>
          <w:rFonts w:hint="eastAsia" w:ascii="仿宋_GB2312" w:eastAsia="仿宋_GB2312"/>
          <w:color w:val="auto"/>
          <w:sz w:val="28"/>
          <w:szCs w:val="28"/>
        </w:rPr>
        <w:t>盖章后制作成p</w:t>
      </w:r>
      <w:r>
        <w:rPr>
          <w:rFonts w:ascii="仿宋_GB2312" w:eastAsia="仿宋_GB2312"/>
          <w:color w:val="auto"/>
          <w:sz w:val="28"/>
          <w:szCs w:val="28"/>
        </w:rPr>
        <w:t>df</w:t>
      </w:r>
      <w:r>
        <w:rPr>
          <w:rFonts w:hint="eastAsia" w:ascii="仿宋_GB2312" w:eastAsia="仿宋_GB2312"/>
          <w:color w:val="auto"/>
          <w:sz w:val="28"/>
          <w:szCs w:val="28"/>
        </w:rPr>
        <w:t>文件</w:t>
      </w:r>
      <w:r>
        <w:rPr>
          <w:rFonts w:hint="eastAsia" w:ascii="仿宋_GB2312" w:eastAsia="仿宋_GB2312"/>
          <w:color w:val="auto"/>
          <w:sz w:val="28"/>
          <w:szCs w:val="28"/>
          <w:lang w:eastAsia="zh-CN"/>
        </w:rPr>
        <w:t>；</w:t>
      </w:r>
      <w:r>
        <w:rPr>
          <w:rFonts w:hint="eastAsia" w:ascii="仿宋_GB2312" w:eastAsia="仿宋_GB2312"/>
          <w:color w:val="auto"/>
          <w:sz w:val="28"/>
          <w:szCs w:val="28"/>
        </w:rPr>
        <w:t>结题支撑材料整理成一个p</w:t>
      </w:r>
      <w:r>
        <w:rPr>
          <w:rFonts w:ascii="仿宋_GB2312" w:eastAsia="仿宋_GB2312"/>
          <w:color w:val="auto"/>
          <w:sz w:val="28"/>
          <w:szCs w:val="28"/>
        </w:rPr>
        <w:t>df</w:t>
      </w:r>
      <w:r>
        <w:rPr>
          <w:rFonts w:hint="eastAsia" w:ascii="仿宋_GB2312" w:eastAsia="仿宋_GB2312"/>
          <w:color w:val="auto"/>
          <w:sz w:val="28"/>
          <w:szCs w:val="28"/>
        </w:rPr>
        <w:t>文件</w:t>
      </w:r>
      <w:r>
        <w:rPr>
          <w:rFonts w:hint="eastAsia" w:ascii="仿宋_GB2312" w:eastAsia="仿宋_GB2312"/>
          <w:color w:val="auto"/>
          <w:sz w:val="28"/>
          <w:szCs w:val="28"/>
          <w:lang w:eastAsia="zh-CN"/>
        </w:rPr>
        <w:t>；</w:t>
      </w:r>
      <w:r>
        <w:rPr>
          <w:rFonts w:hint="eastAsia" w:ascii="仿宋_GB2312" w:eastAsia="仿宋_GB2312"/>
          <w:color w:val="auto"/>
          <w:sz w:val="28"/>
          <w:szCs w:val="28"/>
        </w:rPr>
        <w:t>汇总表须提供签字盖章的pdf版和未盖章的</w:t>
      </w:r>
      <w:r>
        <w:rPr>
          <w:rFonts w:ascii="仿宋_GB2312" w:eastAsia="仿宋_GB2312"/>
          <w:color w:val="auto"/>
          <w:sz w:val="28"/>
          <w:szCs w:val="28"/>
        </w:rPr>
        <w:t>excel</w:t>
      </w:r>
      <w:r>
        <w:rPr>
          <w:rFonts w:hint="eastAsia" w:ascii="仿宋_GB2312" w:eastAsia="仿宋_GB2312"/>
          <w:color w:val="auto"/>
          <w:sz w:val="28"/>
          <w:szCs w:val="28"/>
        </w:rPr>
        <w:t>版。</w:t>
      </w:r>
    </w:p>
    <w:p w14:paraId="1D97F070">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校级</w:t>
      </w:r>
      <w:r>
        <w:rPr>
          <w:rFonts w:hint="eastAsia" w:ascii="仿宋_GB2312" w:eastAsia="仿宋_GB2312"/>
          <w:color w:val="auto"/>
          <w:sz w:val="28"/>
          <w:szCs w:val="28"/>
          <w:lang w:val="en-US" w:eastAsia="zh-CN"/>
        </w:rPr>
        <w:t>教改</w:t>
      </w:r>
      <w:r>
        <w:rPr>
          <w:rFonts w:hint="eastAsia" w:ascii="仿宋_GB2312" w:eastAsia="仿宋_GB2312"/>
          <w:color w:val="auto"/>
          <w:sz w:val="28"/>
          <w:szCs w:val="28"/>
        </w:rPr>
        <w:t>项目</w:t>
      </w:r>
      <w:r>
        <w:rPr>
          <w:rFonts w:hint="eastAsia" w:ascii="仿宋_GB2312" w:eastAsia="仿宋_GB2312"/>
          <w:color w:val="auto"/>
          <w:sz w:val="28"/>
          <w:szCs w:val="28"/>
          <w:lang w:val="en-US" w:eastAsia="zh-CN"/>
        </w:rPr>
        <w:t>申报结题材料</w:t>
      </w:r>
      <w:r>
        <w:rPr>
          <w:rFonts w:hint="eastAsia" w:ascii="仿宋_GB2312" w:eastAsia="仿宋_GB2312"/>
          <w:color w:val="auto"/>
          <w:sz w:val="28"/>
          <w:szCs w:val="28"/>
        </w:rPr>
        <w:t>和省级项目结题材料报送教务处教研科。</w:t>
      </w:r>
    </w:p>
    <w:p w14:paraId="15DDAB0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材料电子稿应分类别进行整理，并以单位命名统一打包后发送到邮箱</w:t>
      </w:r>
      <w:r>
        <w:rPr>
          <w:color w:val="auto"/>
        </w:rPr>
        <w:fldChar w:fldCharType="begin"/>
      </w:r>
      <w:r>
        <w:rPr>
          <w:color w:val="auto"/>
        </w:rPr>
        <w:instrText xml:space="preserve"> HYPERLINK "mailto:jsujyk@126.com" </w:instrText>
      </w:r>
      <w:r>
        <w:rPr>
          <w:color w:val="auto"/>
        </w:rPr>
        <w:fldChar w:fldCharType="separate"/>
      </w:r>
      <w:r>
        <w:rPr>
          <w:rFonts w:hint="eastAsia" w:ascii="仿宋_GB2312" w:eastAsia="仿宋_GB2312"/>
          <w:color w:val="auto"/>
          <w:sz w:val="28"/>
          <w:szCs w:val="28"/>
        </w:rPr>
        <w:t>jsujyk@126.com</w:t>
      </w:r>
      <w:r>
        <w:rPr>
          <w:rFonts w:hint="eastAsia" w:ascii="仿宋_GB2312" w:eastAsia="仿宋_GB2312"/>
          <w:color w:val="auto"/>
          <w:sz w:val="28"/>
          <w:szCs w:val="28"/>
        </w:rPr>
        <w:fldChar w:fldCharType="end"/>
      </w:r>
      <w:r>
        <w:rPr>
          <w:rFonts w:hint="eastAsia" w:ascii="仿宋_GB2312" w:eastAsia="仿宋_GB2312"/>
          <w:color w:val="auto"/>
          <w:sz w:val="28"/>
          <w:szCs w:val="28"/>
        </w:rPr>
        <w:t>。截止时间</w:t>
      </w:r>
      <w:r>
        <w:rPr>
          <w:rFonts w:hint="eastAsia" w:ascii="仿宋_GB2312" w:eastAsia="仿宋_GB2312"/>
          <w:color w:val="auto"/>
          <w:sz w:val="28"/>
          <w:szCs w:val="28"/>
          <w:lang w:val="en-US" w:eastAsia="zh-CN"/>
        </w:rPr>
        <w:t>为</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26</w:t>
      </w:r>
      <w:r>
        <w:rPr>
          <w:rFonts w:hint="eastAsia" w:ascii="仿宋_GB2312" w:eastAsia="仿宋_GB2312"/>
          <w:color w:val="auto"/>
          <w:sz w:val="28"/>
          <w:szCs w:val="28"/>
        </w:rPr>
        <w:t>日，逾期不再接收材料。不接受个人报送材料。</w:t>
      </w:r>
    </w:p>
    <w:p w14:paraId="5A37651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教务处教研科：</w:t>
      </w:r>
      <w:r>
        <w:rPr>
          <w:rFonts w:hint="eastAsia" w:ascii="仿宋_GB2312" w:eastAsia="仿宋_GB2312"/>
          <w:color w:val="auto"/>
          <w:sz w:val="28"/>
          <w:szCs w:val="28"/>
          <w:lang w:val="en-US" w:eastAsia="zh-CN"/>
        </w:rPr>
        <w:t>罗南书</w:t>
      </w:r>
      <w:r>
        <w:rPr>
          <w:rFonts w:hint="eastAsia" w:ascii="仿宋_GB2312" w:eastAsia="仿宋_GB2312"/>
          <w:color w:val="auto"/>
          <w:sz w:val="28"/>
          <w:szCs w:val="28"/>
        </w:rPr>
        <w:t>、张一舟</w:t>
      </w:r>
    </w:p>
    <w:p w14:paraId="60158AA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color w:val="auto"/>
          <w:sz w:val="22"/>
          <w:szCs w:val="24"/>
        </w:rPr>
      </w:pPr>
      <w:r>
        <w:rPr>
          <w:rFonts w:hint="eastAsia" w:ascii="仿宋_GB2312" w:eastAsia="仿宋_GB2312"/>
          <w:color w:val="auto"/>
          <w:sz w:val="28"/>
          <w:szCs w:val="28"/>
        </w:rPr>
        <w:t>联系电话：</w:t>
      </w:r>
      <w:r>
        <w:rPr>
          <w:rFonts w:ascii="仿宋_GB2312" w:eastAsia="仿宋_GB2312"/>
          <w:color w:val="auto"/>
          <w:sz w:val="28"/>
          <w:szCs w:val="28"/>
        </w:rPr>
        <w:t>0743-8564146</w:t>
      </w:r>
    </w:p>
    <w:p w14:paraId="782457BD">
      <w:pPr>
        <w:keepNext w:val="0"/>
        <w:keepLines w:val="0"/>
        <w:pageBreakBefore w:val="0"/>
        <w:widowControl w:val="0"/>
        <w:kinsoku/>
        <w:wordWrap/>
        <w:overflowPunct/>
        <w:topLinePunct w:val="0"/>
        <w:autoSpaceDE/>
        <w:autoSpaceDN/>
        <w:bidi w:val="0"/>
        <w:adjustRightInd/>
        <w:snapToGrid/>
        <w:spacing w:line="580" w:lineRule="exact"/>
        <w:ind w:firstLine="562" w:firstLineChars="200"/>
        <w:textAlignment w:val="auto"/>
        <w:rPr>
          <w:rFonts w:hint="eastAsia" w:ascii="仿宋_GB2312" w:eastAsia="仿宋_GB2312"/>
          <w:b/>
          <w:bCs/>
          <w:color w:val="auto"/>
          <w:sz w:val="28"/>
          <w:szCs w:val="28"/>
        </w:rPr>
      </w:pPr>
      <w:r>
        <w:rPr>
          <w:rFonts w:hint="eastAsia" w:ascii="仿宋_GB2312" w:eastAsia="仿宋_GB2312"/>
          <w:b/>
          <w:bCs/>
          <w:color w:val="auto"/>
          <w:sz w:val="28"/>
          <w:szCs w:val="28"/>
        </w:rPr>
        <w:t>附件：</w:t>
      </w:r>
    </w:p>
    <w:p w14:paraId="6B2EC529">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吉首大学202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年教学改革研究项目申报指标</w:t>
      </w:r>
    </w:p>
    <w:p w14:paraId="3898D7AD">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val="en-US" w:eastAsia="zh-CN"/>
        </w:rPr>
        <w:t>.校级</w:t>
      </w:r>
      <w:r>
        <w:rPr>
          <w:rFonts w:hint="eastAsia" w:ascii="仿宋_GB2312" w:eastAsia="仿宋_GB2312"/>
          <w:color w:val="auto"/>
          <w:sz w:val="28"/>
          <w:szCs w:val="28"/>
        </w:rPr>
        <w:t>教改课题管理表格（一套）</w:t>
      </w:r>
    </w:p>
    <w:p w14:paraId="6EC6E91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3</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关于开展 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年湖南省普通高等学校教学改革研究项目立项和结题工作的通知</w:t>
      </w:r>
    </w:p>
    <w:p w14:paraId="312CB9C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4.2025年湖南省普通高等学校教学改革研究项目立项指南</w:t>
      </w:r>
    </w:p>
    <w:p w14:paraId="50D8CFE8">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5.2025年湖南省普通高等学校教学改革研究项目结题报告书</w:t>
      </w:r>
    </w:p>
    <w:p w14:paraId="3D8AF4E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6.2025年湖南省普通高等学校教学改革研究项目结题汇总表</w:t>
      </w:r>
    </w:p>
    <w:p w14:paraId="7C6393D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7.2025年本科教育教学改革典型项目成果简介</w:t>
      </w:r>
    </w:p>
    <w:p w14:paraId="414592D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8.2025年本科教育教学改革典型项目汇总表</w:t>
      </w:r>
    </w:p>
    <w:p w14:paraId="7DD03DB1">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9.2025年湖南省普通高等学校教学改革研究项目年度检查表</w:t>
      </w:r>
    </w:p>
    <w:p w14:paraId="4886DB95">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2"/>
          <w:szCs w:val="24"/>
        </w:rPr>
      </w:pPr>
    </w:p>
    <w:p w14:paraId="5DA4AA13">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2"/>
          <w:szCs w:val="24"/>
        </w:rPr>
      </w:pPr>
    </w:p>
    <w:p w14:paraId="0B604ABC">
      <w:pPr>
        <w:keepNext w:val="0"/>
        <w:keepLines w:val="0"/>
        <w:pageBreakBefore w:val="0"/>
        <w:kinsoku/>
        <w:wordWrap/>
        <w:overflowPunct/>
        <w:topLinePunct w:val="0"/>
        <w:autoSpaceDE/>
        <w:autoSpaceDN/>
        <w:bidi w:val="0"/>
        <w:adjustRightInd/>
        <w:snapToGrid/>
        <w:spacing w:line="360" w:lineRule="auto"/>
        <w:jc w:val="right"/>
        <w:textAlignment w:val="auto"/>
        <w:rPr>
          <w:rFonts w:ascii="仿宋_GB2312" w:eastAsia="仿宋_GB2312"/>
          <w:color w:val="auto"/>
          <w:sz w:val="28"/>
          <w:szCs w:val="28"/>
        </w:rPr>
      </w:pPr>
      <w:r>
        <w:rPr>
          <w:rFonts w:hint="eastAsia" w:ascii="仿宋_GB2312" w:eastAsia="仿宋_GB2312"/>
          <w:color w:val="auto"/>
          <w:sz w:val="28"/>
          <w:szCs w:val="28"/>
        </w:rPr>
        <w:t>吉首大学教务处</w:t>
      </w:r>
    </w:p>
    <w:p w14:paraId="773B7333">
      <w:pPr>
        <w:keepNext w:val="0"/>
        <w:keepLines w:val="0"/>
        <w:pageBreakBefore w:val="0"/>
        <w:kinsoku/>
        <w:wordWrap/>
        <w:overflowPunct/>
        <w:topLinePunct w:val="0"/>
        <w:autoSpaceDE/>
        <w:autoSpaceDN/>
        <w:bidi w:val="0"/>
        <w:adjustRightInd/>
        <w:snapToGrid/>
        <w:spacing w:line="360" w:lineRule="auto"/>
        <w:ind w:firstLine="5880" w:firstLineChars="2100"/>
        <w:jc w:val="right"/>
        <w:textAlignment w:val="auto"/>
        <w:rPr>
          <w:color w:val="auto"/>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23</w:t>
      </w:r>
      <w:r>
        <w:rPr>
          <w:rFonts w:hint="eastAsia" w:ascii="仿宋_GB2312" w:eastAsia="仿宋_GB2312"/>
          <w:color w:val="auto"/>
          <w:sz w:val="28"/>
          <w:szCs w:val="28"/>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AC28FE-66DA-43F9-AA93-7777F026A56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3B204632-E25E-4C6D-8BC4-AE7A146C9CE9}"/>
  </w:font>
  <w:font w:name="华文中宋">
    <w:panose1 w:val="02010600040101010101"/>
    <w:charset w:val="86"/>
    <w:family w:val="auto"/>
    <w:pitch w:val="default"/>
    <w:sig w:usb0="00000287" w:usb1="080F0000" w:usb2="00000000" w:usb3="00000000" w:csb0="0004009F" w:csb1="DFD70000"/>
    <w:embedRegular r:id="rId3" w:fontKey="{FEBC67D8-FDC3-4AEC-AC6D-90404DD39D03}"/>
  </w:font>
  <w:font w:name="仿宋_GB2312">
    <w:altName w:val="仿宋"/>
    <w:panose1 w:val="02010609030101010101"/>
    <w:charset w:val="86"/>
    <w:family w:val="modern"/>
    <w:pitch w:val="default"/>
    <w:sig w:usb0="00000000" w:usb1="00000000" w:usb2="00000010" w:usb3="00000000" w:csb0="00040000" w:csb1="00000000"/>
    <w:embedRegular r:id="rId4" w:fontKey="{6F69AF65-6655-4C2F-A622-88F17C5F0363}"/>
  </w:font>
  <w:font w:name="仿宋">
    <w:panose1 w:val="02010609060101010101"/>
    <w:charset w:val="86"/>
    <w:family w:val="auto"/>
    <w:pitch w:val="default"/>
    <w:sig w:usb0="800002BF" w:usb1="38CF7CFA" w:usb2="00000016" w:usb3="00000000" w:csb0="00040001" w:csb1="00000000"/>
    <w:embedRegular r:id="rId5" w:fontKey="{72FA09F3-62C8-4C9D-B1B1-015CF8075050}"/>
  </w:font>
  <w:font w:name="微软雅黑">
    <w:panose1 w:val="020B0503020204020204"/>
    <w:charset w:val="86"/>
    <w:family w:val="auto"/>
    <w:pitch w:val="default"/>
    <w:sig w:usb0="80000287" w:usb1="280F3C52" w:usb2="00000016" w:usb3="00000000" w:csb0="0004001F" w:csb1="00000000"/>
    <w:embedRegular r:id="rId6" w:fontKey="{055C0176-70F6-4689-9C61-3377CE894001}"/>
  </w:font>
  <w:font w:name="楷体">
    <w:panose1 w:val="02010609060101010101"/>
    <w:charset w:val="86"/>
    <w:family w:val="modern"/>
    <w:pitch w:val="default"/>
    <w:sig w:usb0="800002BF" w:usb1="38CF7CFA" w:usb2="00000016" w:usb3="00000000" w:csb0="00040001" w:csb1="00000000"/>
    <w:embedRegular r:id="rId7" w:fontKey="{CF843D8D-1379-456F-97EF-DE09895F36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4F1D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518DC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518DC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ZTlhMTM2MTU4MjQ1MzUzYjQyZjljNDdlY2Y4OGEifQ=="/>
  </w:docVars>
  <w:rsids>
    <w:rsidRoot w:val="00000000"/>
    <w:rsid w:val="00896501"/>
    <w:rsid w:val="01483505"/>
    <w:rsid w:val="019C65AE"/>
    <w:rsid w:val="038D5330"/>
    <w:rsid w:val="04956A61"/>
    <w:rsid w:val="04A412CA"/>
    <w:rsid w:val="04D1736D"/>
    <w:rsid w:val="04F53A1F"/>
    <w:rsid w:val="05E947F9"/>
    <w:rsid w:val="06716FB5"/>
    <w:rsid w:val="06763BE5"/>
    <w:rsid w:val="076F3599"/>
    <w:rsid w:val="08564759"/>
    <w:rsid w:val="08955281"/>
    <w:rsid w:val="08C16076"/>
    <w:rsid w:val="08DB07BA"/>
    <w:rsid w:val="093C74AB"/>
    <w:rsid w:val="0AEC76F2"/>
    <w:rsid w:val="0B3B3792"/>
    <w:rsid w:val="0C774C9E"/>
    <w:rsid w:val="0E883192"/>
    <w:rsid w:val="0E932B6A"/>
    <w:rsid w:val="0EF40E8A"/>
    <w:rsid w:val="0F377FB5"/>
    <w:rsid w:val="0F386966"/>
    <w:rsid w:val="1054157E"/>
    <w:rsid w:val="125B36A2"/>
    <w:rsid w:val="12957C2C"/>
    <w:rsid w:val="13620BF9"/>
    <w:rsid w:val="144E09DA"/>
    <w:rsid w:val="145204CA"/>
    <w:rsid w:val="154B3304"/>
    <w:rsid w:val="15A22D8C"/>
    <w:rsid w:val="16331C36"/>
    <w:rsid w:val="16F70EB5"/>
    <w:rsid w:val="17432186"/>
    <w:rsid w:val="17C50FB3"/>
    <w:rsid w:val="18BD1C8B"/>
    <w:rsid w:val="1B97081D"/>
    <w:rsid w:val="1C446B02"/>
    <w:rsid w:val="1DCB7D5D"/>
    <w:rsid w:val="1F044C17"/>
    <w:rsid w:val="1F7A2683"/>
    <w:rsid w:val="224C0E52"/>
    <w:rsid w:val="24AD52A9"/>
    <w:rsid w:val="259A3A7F"/>
    <w:rsid w:val="265E685B"/>
    <w:rsid w:val="268564DD"/>
    <w:rsid w:val="274D2F41"/>
    <w:rsid w:val="27856069"/>
    <w:rsid w:val="278C389C"/>
    <w:rsid w:val="27CE017C"/>
    <w:rsid w:val="27DE487E"/>
    <w:rsid w:val="29565B6D"/>
    <w:rsid w:val="2A63373C"/>
    <w:rsid w:val="2C0559CB"/>
    <w:rsid w:val="2C810C12"/>
    <w:rsid w:val="2ECA1704"/>
    <w:rsid w:val="2EF37D5C"/>
    <w:rsid w:val="2F05640D"/>
    <w:rsid w:val="2F4E0AF7"/>
    <w:rsid w:val="2F6B0DF7"/>
    <w:rsid w:val="2F950E14"/>
    <w:rsid w:val="30627EB2"/>
    <w:rsid w:val="30A17E5B"/>
    <w:rsid w:val="310E1B27"/>
    <w:rsid w:val="31B078DD"/>
    <w:rsid w:val="32A724AC"/>
    <w:rsid w:val="342B2DC5"/>
    <w:rsid w:val="35564A6A"/>
    <w:rsid w:val="35F745D6"/>
    <w:rsid w:val="364315C9"/>
    <w:rsid w:val="36F47D1B"/>
    <w:rsid w:val="37575E0D"/>
    <w:rsid w:val="37826121"/>
    <w:rsid w:val="38B33F63"/>
    <w:rsid w:val="391F045F"/>
    <w:rsid w:val="39702B96"/>
    <w:rsid w:val="3A0B7635"/>
    <w:rsid w:val="3B2A2D58"/>
    <w:rsid w:val="3BB0325D"/>
    <w:rsid w:val="3CA56B3A"/>
    <w:rsid w:val="3E6B7193"/>
    <w:rsid w:val="3E7253B2"/>
    <w:rsid w:val="3E8F7AA2"/>
    <w:rsid w:val="3E970704"/>
    <w:rsid w:val="3FF004B2"/>
    <w:rsid w:val="40B62DB3"/>
    <w:rsid w:val="41285339"/>
    <w:rsid w:val="413E755D"/>
    <w:rsid w:val="436154E3"/>
    <w:rsid w:val="449744EA"/>
    <w:rsid w:val="45266F5B"/>
    <w:rsid w:val="45450D0E"/>
    <w:rsid w:val="456255EA"/>
    <w:rsid w:val="46BC4362"/>
    <w:rsid w:val="475278BE"/>
    <w:rsid w:val="47832222"/>
    <w:rsid w:val="487A531F"/>
    <w:rsid w:val="48CB5B7A"/>
    <w:rsid w:val="4924528A"/>
    <w:rsid w:val="4AF33166"/>
    <w:rsid w:val="4BA83F51"/>
    <w:rsid w:val="4C3514C7"/>
    <w:rsid w:val="4CEF795D"/>
    <w:rsid w:val="4E54667B"/>
    <w:rsid w:val="4FAE3B00"/>
    <w:rsid w:val="4FCD042A"/>
    <w:rsid w:val="4FEA26F9"/>
    <w:rsid w:val="51220301"/>
    <w:rsid w:val="526E67F5"/>
    <w:rsid w:val="53A76B80"/>
    <w:rsid w:val="554D5957"/>
    <w:rsid w:val="571E7630"/>
    <w:rsid w:val="574074B7"/>
    <w:rsid w:val="57AB1BA4"/>
    <w:rsid w:val="58112E7E"/>
    <w:rsid w:val="590945CA"/>
    <w:rsid w:val="5963274A"/>
    <w:rsid w:val="59A0270B"/>
    <w:rsid w:val="59C53F20"/>
    <w:rsid w:val="59EC5950"/>
    <w:rsid w:val="5B10566E"/>
    <w:rsid w:val="5B3E21DC"/>
    <w:rsid w:val="5CC1788C"/>
    <w:rsid w:val="5D9205BD"/>
    <w:rsid w:val="5D964551"/>
    <w:rsid w:val="60016769"/>
    <w:rsid w:val="61137B21"/>
    <w:rsid w:val="6311489B"/>
    <w:rsid w:val="63950E07"/>
    <w:rsid w:val="64C2548E"/>
    <w:rsid w:val="655A5E64"/>
    <w:rsid w:val="679715D7"/>
    <w:rsid w:val="69C51D1A"/>
    <w:rsid w:val="6AF96C00"/>
    <w:rsid w:val="6CD84995"/>
    <w:rsid w:val="6E1B5B5E"/>
    <w:rsid w:val="6E5F098F"/>
    <w:rsid w:val="6E880928"/>
    <w:rsid w:val="6FCB6256"/>
    <w:rsid w:val="701E1DBA"/>
    <w:rsid w:val="703B4AE4"/>
    <w:rsid w:val="70622952"/>
    <w:rsid w:val="709C26FD"/>
    <w:rsid w:val="71520CC6"/>
    <w:rsid w:val="71672A79"/>
    <w:rsid w:val="74123DAE"/>
    <w:rsid w:val="750D68EF"/>
    <w:rsid w:val="77844FC2"/>
    <w:rsid w:val="7794747D"/>
    <w:rsid w:val="77DB72D8"/>
    <w:rsid w:val="77F66832"/>
    <w:rsid w:val="78C22246"/>
    <w:rsid w:val="78F34ECC"/>
    <w:rsid w:val="7A172159"/>
    <w:rsid w:val="7A5D3373"/>
    <w:rsid w:val="7BFF0D1D"/>
    <w:rsid w:val="7D20093C"/>
    <w:rsid w:val="7D830876"/>
    <w:rsid w:val="7E8B6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3285</Words>
  <Characters>3452</Characters>
  <Lines>0</Lines>
  <Paragraphs>0</Paragraphs>
  <TotalTime>28</TotalTime>
  <ScaleCrop>false</ScaleCrop>
  <LinksUpToDate>false</LinksUpToDate>
  <CharactersWithSpaces>3466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2022-08-04T11:44:00Z</dcterms:created>
  <dc:creator>zyzjjyy</dc:creator>
  <cp:lastModifiedBy>Administrator</cp:lastModifiedBy>
  <dcterms:modified xsi:type="dcterms:W3CDTF">2025-01-23T09:24:16Z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74AB553936DC4E828A09885A07F947E9_13</vt:lpwstr>
  </property>
  <property fmtid="{D5CDD505-2E9C-101B-9397-08002B2CF9AE}" pid="4" name="KSOTemplateDocerSaveRecord">
    <vt:lpwstr>eyJoZGlkIjoiNzFkZTlhMTM2MTU4MjQ1MzUzYjQyZjljNDdlY2Y4OGEiLCJ1c2VySWQiOiI2MzI5MzQ1MzAifQ==</vt:lpwstr>
  </property>
</Properties>
</file>