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_GBK" w:eastAsia="方正小标宋_GBK"/>
          <w:sz w:val="44"/>
          <w:szCs w:val="44"/>
          <w:lang w:val="en-US" w:eastAsia="zh-CN"/>
        </w:rPr>
      </w:pPr>
      <w:r>
        <w:rPr>
          <w:rFonts w:hint="eastAsia" w:ascii="方正小标宋_GBK" w:eastAsia="方正小标宋_GBK"/>
          <w:sz w:val="44"/>
          <w:szCs w:val="44"/>
        </w:rPr>
        <w:t>维普论文检测个人服务使用</w:t>
      </w:r>
      <w:r>
        <w:rPr>
          <w:rFonts w:hint="eastAsia" w:ascii="方正小标宋_GBK" w:eastAsia="方正小标宋_GBK"/>
          <w:sz w:val="44"/>
          <w:szCs w:val="44"/>
          <w:lang w:val="en-US" w:eastAsia="zh-CN"/>
        </w:rPr>
        <w:t>指南</w:t>
      </w:r>
    </w:p>
    <w:p>
      <w:pPr>
        <w:pStyle w:val="32"/>
        <w:numPr>
          <w:ilvl w:val="0"/>
          <w:numId w:val="1"/>
        </w:numPr>
        <w:rPr>
          <w:rFonts w:hint="eastAsia" w:ascii="仿宋_GB2312" w:eastAsia="仿宋_GB2312"/>
          <w:sz w:val="24"/>
          <w:szCs w:val="24"/>
        </w:rPr>
      </w:pPr>
      <w:r>
        <w:rPr>
          <w:rFonts w:hint="eastAsia" w:ascii="楷体_GB2312" w:eastAsia="楷体_GB2312"/>
          <w:sz w:val="28"/>
          <w:szCs w:val="28"/>
        </w:rPr>
        <w:t>账号注册、登陆</w:t>
      </w:r>
    </w:p>
    <w:p>
      <w:pPr>
        <w:spacing w:line="360" w:lineRule="auto"/>
        <w:ind w:firstLine="720" w:firstLineChars="300"/>
        <w:rPr>
          <w:rFonts w:ascii="仿宋_GB2312" w:hAnsi="宋体" w:eastAsia="仿宋_GB2312"/>
          <w:bCs/>
          <w:sz w:val="24"/>
        </w:rPr>
      </w:pPr>
      <w:r>
        <w:rPr>
          <w:rFonts w:hint="eastAsia" w:ascii="仿宋_GB2312" w:hAnsi="宋体" w:eastAsia="仿宋_GB2312"/>
          <w:bCs/>
          <w:sz w:val="24"/>
        </w:rPr>
        <w:t>浏览器内输入网址：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HYPERLINK "https://vpcs.fanyu.com/personal/jsu"</w:instrText>
      </w:r>
      <w:r>
        <w:rPr>
          <w:rFonts w:hint="eastAsia"/>
        </w:rPr>
        <w:fldChar w:fldCharType="separate"/>
      </w:r>
      <w:r>
        <w:rPr>
          <w:rStyle w:val="18"/>
          <w:rFonts w:hint="eastAsia"/>
        </w:rPr>
        <w:t>https://vpcs.fanyu.com/personal/jsu</w:t>
      </w:r>
      <w:r>
        <w:rPr>
          <w:rFonts w:hint="eastAsia"/>
        </w:rPr>
        <w:fldChar w:fldCharType="end"/>
      </w:r>
      <w:r>
        <w:rPr>
          <w:rFonts w:hint="eastAsia" w:ascii="仿宋_GB2312" w:hAnsi="宋体" w:eastAsia="仿宋_GB2312"/>
          <w:bCs/>
          <w:sz w:val="24"/>
        </w:rPr>
        <w:t>，访问维普论文检测</w:t>
      </w:r>
      <w:bookmarkStart w:id="0" w:name="_GoBack"/>
      <w:bookmarkEnd w:id="0"/>
      <w:r>
        <w:rPr>
          <w:rFonts w:hint="eastAsia" w:ascii="仿宋_GB2312" w:hAnsi="宋体" w:eastAsia="仿宋_GB2312"/>
          <w:bCs/>
          <w:sz w:val="24"/>
        </w:rPr>
        <w:t>系统·吉首大学定制链接，登录账号：手机号注册使用。登录后，请及时绑定手机号并修改密码。</w:t>
      </w:r>
    </w:p>
    <w:p>
      <w:pPr>
        <w:spacing w:line="360" w:lineRule="auto"/>
        <w:ind w:firstLine="630" w:firstLineChars="300"/>
        <w:rPr>
          <w:rFonts w:hint="eastAsia" w:ascii="仿宋_GB2312" w:hAnsi="宋体" w:eastAsia="仿宋_GB2312"/>
          <w:bCs/>
          <w:sz w:val="24"/>
        </w:rPr>
      </w:pPr>
      <w:r>
        <w:rPr>
          <w14:ligatures w14:val="none"/>
        </w:rPr>
        <w:drawing>
          <wp:inline distT="0" distB="0" distL="0" distR="0">
            <wp:extent cx="5274310" cy="2783840"/>
            <wp:effectExtent l="0" t="0" r="2540" b="0"/>
            <wp:docPr id="1671736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7362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仿宋_GB2312" w:hAnsi="宋体" w:eastAsia="仿宋_GB2312"/>
          <w:bCs/>
          <w:sz w:val="24"/>
        </w:rPr>
      </w:pPr>
    </w:p>
    <w:p>
      <w:pPr>
        <w:spacing w:line="360" w:lineRule="auto"/>
        <w:jc w:val="center"/>
        <w:rPr>
          <w:rFonts w:hint="eastAsia" w:ascii="仿宋_GB2312" w:hAnsi="宋体" w:eastAsia="仿宋_GB2312"/>
          <w:bCs/>
          <w:sz w:val="24"/>
        </w:rPr>
      </w:pPr>
    </w:p>
    <w:p>
      <w:pPr>
        <w:pStyle w:val="32"/>
        <w:numPr>
          <w:ilvl w:val="0"/>
          <w:numId w:val="1"/>
        </w:numPr>
        <w:rPr>
          <w:rFonts w:hint="eastAsia" w:ascii="楷体_GB2312" w:eastAsia="楷体_GB2312"/>
          <w:sz w:val="28"/>
          <w:szCs w:val="28"/>
        </w:rPr>
      </w:pPr>
      <w:r>
        <w:rPr>
          <w:rFonts w:hint="eastAsia" w:ascii="楷体_GB2312" w:eastAsia="楷体_GB2312"/>
          <w:sz w:val="28"/>
          <w:szCs w:val="28"/>
        </w:rPr>
        <w:t>论文检测</w:t>
      </w:r>
    </w:p>
    <w:p>
      <w:pPr>
        <w:pStyle w:val="32"/>
        <w:ind w:left="0" w:firstLine="420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1、选择版本类型</w:t>
      </w:r>
    </w:p>
    <w:p>
      <w:pPr>
        <w:spacing w:line="360" w:lineRule="auto"/>
        <w:ind w:firstLine="720" w:firstLineChars="300"/>
        <w:rPr>
          <w:rFonts w:ascii="仿宋_GB2312" w:hAnsi="宋体" w:eastAsia="仿宋_GB2312"/>
          <w:bCs/>
          <w:sz w:val="24"/>
        </w:rPr>
      </w:pPr>
      <w:r>
        <w:rPr>
          <w:rFonts w:hint="eastAsia" w:ascii="仿宋_GB2312" w:hAnsi="宋体" w:eastAsia="仿宋_GB2312"/>
          <w:bCs/>
          <w:sz w:val="24"/>
        </w:rPr>
        <w:t>进入系统，选择[大学生版]，点击“立即使用”，如下图所示：</w:t>
      </w:r>
    </w:p>
    <w:p>
      <w:pPr>
        <w:spacing w:line="360" w:lineRule="auto"/>
        <w:ind w:firstLine="630" w:firstLineChars="300"/>
        <w:rPr>
          <w:rFonts w:hint="eastAsia" w:ascii="仿宋_GB2312" w:hAnsi="宋体" w:eastAsia="仿宋_GB2312"/>
          <w:bCs/>
          <w:sz w:val="24"/>
        </w:rPr>
      </w:pPr>
      <w:r>
        <w:rPr>
          <w14:ligatures w14:val="none"/>
        </w:rPr>
        <w:drawing>
          <wp:inline distT="0" distB="0" distL="0" distR="0">
            <wp:extent cx="5274310" cy="2988945"/>
            <wp:effectExtent l="0" t="0" r="2540" b="1905"/>
            <wp:docPr id="6307107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71071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2"/>
        <w:ind w:left="0"/>
        <w:rPr>
          <w:rFonts w:hint="eastAsia"/>
        </w:rPr>
      </w:pPr>
    </w:p>
    <w:p>
      <w:pPr>
        <w:pStyle w:val="32"/>
        <w:ind w:left="0" w:firstLine="420"/>
        <w:rPr>
          <w:rFonts w:hint="eastAsia" w:ascii="仿宋_GB2312" w:hAnsi="仿宋_GB2312" w:eastAsia="仿宋_GB2312" w:cs="仿宋_GB2312"/>
          <w:sz w:val="24"/>
          <w:szCs w:val="24"/>
        </w:rPr>
      </w:pPr>
    </w:p>
    <w:p>
      <w:pPr>
        <w:pStyle w:val="32"/>
        <w:ind w:left="0" w:firstLine="420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2、上传文档</w:t>
      </w:r>
    </w:p>
    <w:p>
      <w:pPr>
        <w:spacing w:line="360" w:lineRule="auto"/>
        <w:ind w:firstLine="720" w:firstLineChars="300"/>
        <w:rPr>
          <w:rFonts w:hint="eastAsia" w:ascii="仿宋_GB2312" w:hAnsi="宋体" w:eastAsia="仿宋_GB2312"/>
          <w:bCs/>
          <w:sz w:val="24"/>
        </w:rPr>
      </w:pPr>
      <w:r>
        <w:rPr>
          <w:rFonts w:hint="eastAsia" w:ascii="仿宋_GB2312" w:hAnsi="宋体" w:eastAsia="仿宋_GB2312"/>
          <w:bCs/>
          <w:sz w:val="24"/>
        </w:rPr>
        <w:t>首先点击图片箭头所示位置，选择需要检测的文档，系统将自动识别文档名称，随后手动输入作者名称，填写完成后，点击[下一步]。</w:t>
      </w:r>
    </w:p>
    <w:p>
      <w:pPr>
        <w:pStyle w:val="32"/>
        <w:ind w:left="0" w:firstLine="420"/>
        <w:jc w:val="center"/>
        <w:rPr>
          <w:rFonts w:hint="eastAsia" w:ascii="仿宋_GB2312" w:hAnsi="宋体" w:eastAsia="仿宋_GB2312"/>
          <w:bCs/>
          <w:sz w:val="24"/>
        </w:rPr>
      </w:pPr>
    </w:p>
    <w:p>
      <w:pPr>
        <w:pStyle w:val="32"/>
        <w:ind w:left="0"/>
        <w:rPr>
          <w:rFonts w:hint="eastAsia"/>
        </w:rPr>
      </w:pPr>
      <w:r>
        <w:rPr>
          <w14:ligatures w14:val="none"/>
        </w:rPr>
        <w:drawing>
          <wp:inline distT="0" distB="0" distL="0" distR="0">
            <wp:extent cx="5274310" cy="2990850"/>
            <wp:effectExtent l="0" t="0" r="2540" b="0"/>
            <wp:docPr id="20080672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06726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2"/>
        <w:ind w:left="0"/>
        <w:rPr>
          <w:rFonts w:hint="eastAsia"/>
        </w:rPr>
      </w:pPr>
    </w:p>
    <w:p>
      <w:pPr>
        <w:pStyle w:val="32"/>
        <w:ind w:left="0" w:firstLine="420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3、确认支付</w:t>
      </w:r>
    </w:p>
    <w:p>
      <w:pPr>
        <w:pStyle w:val="32"/>
        <w:ind w:left="0" w:firstLine="240" w:firstLineChars="100"/>
        <w:jc w:val="left"/>
        <w:rPr>
          <w:rFonts w:hint="eastAsia"/>
        </w:rPr>
      </w:pPr>
      <w:r>
        <w:rPr>
          <w:rFonts w:hint="eastAsia" w:ascii="仿宋_GB2312" w:hAnsi="宋体" w:eastAsia="仿宋_GB2312"/>
          <w:bCs/>
          <w:sz w:val="24"/>
        </w:rPr>
        <w:t>自愿勾选有偿使用“论文查重”、“格式检测”（可以根据需求选择不同的检测类型）、“AIGC检测”，选择完成，并检查无误后，点击[确认支付]，进入下一步。</w:t>
      </w:r>
      <w:r>
        <w:rPr>
          <w14:ligatures w14:val="none"/>
        </w:rPr>
        <w:drawing>
          <wp:inline distT="0" distB="0" distL="0" distR="0">
            <wp:extent cx="5274310" cy="3011170"/>
            <wp:effectExtent l="0" t="0" r="2540" b="0"/>
            <wp:docPr id="11368308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83085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2"/>
        <w:ind w:left="0" w:firstLine="420"/>
        <w:rPr>
          <w:rFonts w:hint="eastAsia" w:ascii="仿宋_GB2312" w:hAnsi="仿宋_GB2312" w:eastAsia="仿宋_GB2312" w:cs="仿宋_GB2312"/>
          <w:sz w:val="24"/>
          <w:szCs w:val="24"/>
        </w:rPr>
      </w:pPr>
    </w:p>
    <w:p>
      <w:pPr>
        <w:pStyle w:val="32"/>
        <w:ind w:left="0" w:firstLine="420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4、完成支付</w:t>
      </w:r>
    </w:p>
    <w:p>
      <w:pPr>
        <w:spacing w:line="360" w:lineRule="auto"/>
        <w:ind w:firstLine="720" w:firstLineChars="300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宋体" w:eastAsia="仿宋_GB2312"/>
          <w:bCs/>
          <w:sz w:val="24"/>
        </w:rPr>
        <w:t>选择支付方式，扫码支付完成后，点击[我已支付]，完成论文检测。</w:t>
      </w:r>
    </w:p>
    <w:p>
      <w:pPr>
        <w:pStyle w:val="32"/>
        <w:ind w:left="0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14:ligatures w14:val="none"/>
        </w:rPr>
        <w:drawing>
          <wp:inline distT="0" distB="0" distL="0" distR="0">
            <wp:extent cx="5274310" cy="2885440"/>
            <wp:effectExtent l="0" t="0" r="2540" b="0"/>
            <wp:docPr id="14975606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56066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2"/>
        <w:numPr>
          <w:ilvl w:val="0"/>
          <w:numId w:val="1"/>
        </w:numPr>
        <w:rPr>
          <w:rFonts w:hint="eastAsia" w:ascii="楷体_GB2312" w:eastAsia="楷体_GB2312"/>
          <w:sz w:val="28"/>
          <w:szCs w:val="28"/>
        </w:rPr>
      </w:pPr>
      <w:r>
        <w:rPr>
          <w:rFonts w:hint="eastAsia" w:ascii="楷体_GB2312" w:eastAsia="楷体_GB2312"/>
          <w:sz w:val="28"/>
          <w:szCs w:val="28"/>
        </w:rPr>
        <w:t>检测报告</w:t>
      </w:r>
    </w:p>
    <w:p>
      <w:pPr>
        <w:spacing w:line="360" w:lineRule="auto"/>
        <w:ind w:firstLine="720" w:firstLineChars="300"/>
        <w:rPr>
          <w:rFonts w:hint="eastAsia" w:ascii="仿宋_GB2312" w:hAnsi="宋体" w:eastAsia="仿宋_GB2312"/>
          <w:bCs/>
          <w:sz w:val="24"/>
        </w:rPr>
      </w:pPr>
      <w:r>
        <w:rPr>
          <w:rFonts w:hint="eastAsia" w:ascii="仿宋_GB2312" w:hAnsi="宋体" w:eastAsia="仿宋_GB2312"/>
          <w:bCs/>
          <w:sz w:val="24"/>
        </w:rPr>
        <w:t>点击左侧栏[检测报告]，即可查看全部的检测报告的进度状态及检测结果（包括查重检测报告、格式检测报告、AIGC检测报告）。</w:t>
      </w:r>
    </w:p>
    <w:p>
      <w:pPr>
        <w:pStyle w:val="32"/>
        <w:ind w:left="0"/>
        <w:rPr>
          <w:rFonts w:hint="eastAsia"/>
        </w:rPr>
      </w:pPr>
    </w:p>
    <w:p>
      <w:pPr>
        <w:pStyle w:val="32"/>
        <w:ind w:left="0"/>
      </w:pPr>
      <w:r>
        <w:rPr>
          <w14:ligatures w14:val="none"/>
        </w:rPr>
        <w:drawing>
          <wp:inline distT="0" distB="0" distL="0" distR="0">
            <wp:extent cx="5274310" cy="5140325"/>
            <wp:effectExtent l="0" t="0" r="2540" b="3175"/>
            <wp:docPr id="16980205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02050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4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2"/>
        <w:numPr>
          <w:ilvl w:val="0"/>
          <w:numId w:val="1"/>
        </w:numPr>
        <w:rPr>
          <w:rFonts w:hint="eastAsia" w:ascii="楷体_GB2312" w:eastAsia="楷体_GB2312"/>
          <w:sz w:val="28"/>
          <w:szCs w:val="28"/>
        </w:rPr>
      </w:pPr>
      <w:r>
        <w:rPr>
          <w:rFonts w:hint="eastAsia" w:ascii="楷体_GB2312" w:eastAsia="楷体_GB2312"/>
          <w:sz w:val="28"/>
          <w:szCs w:val="28"/>
        </w:rPr>
        <w:t>检测数据同步</w:t>
      </w:r>
    </w:p>
    <w:p>
      <w:pPr>
        <w:pStyle w:val="32"/>
        <w:ind w:left="0" w:firstLine="720" w:firstLineChars="300"/>
        <w:rPr>
          <w:rFonts w:ascii="仿宋_GB2312" w:hAnsi="宋体" w:eastAsia="仿宋_GB2312"/>
          <w:bCs/>
          <w:sz w:val="24"/>
        </w:rPr>
      </w:pPr>
      <w:r>
        <w:rPr>
          <w:rFonts w:hint="eastAsia" w:ascii="仿宋_GB2312" w:hAnsi="宋体" w:eastAsia="仿宋_GB2312"/>
          <w:bCs/>
          <w:sz w:val="24"/>
        </w:rPr>
        <w:t>复制报告编号，返回论文管理系统内，重新上传检测合格的论文，点击自检链接按钮，输入自检的报告编号（注：1、请先重新提交论文后再输入编号；2、如果论文重新提交了，查重和aigc检测都需要重新检测）</w:t>
      </w:r>
    </w:p>
    <w:p>
      <w:pPr>
        <w:pStyle w:val="32"/>
        <w:ind w:left="0" w:firstLine="630" w:firstLineChars="300"/>
        <w:rPr>
          <w:rFonts w:hint="eastAsia"/>
        </w:rPr>
      </w:pPr>
      <w:r>
        <w:rPr>
          <w14:ligatures w14:val="none"/>
        </w:rPr>
        <w:drawing>
          <wp:inline distT="0" distB="0" distL="0" distR="0">
            <wp:extent cx="5274310" cy="2343150"/>
            <wp:effectExtent l="0" t="0" r="2540" b="0"/>
            <wp:docPr id="5519038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90380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2"/>
        <w:ind w:left="0"/>
        <w:rPr>
          <w:rFonts w:hint="eastAsia"/>
        </w:rPr>
      </w:pPr>
    </w:p>
    <w:p>
      <w:pPr>
        <w:pStyle w:val="32"/>
        <w:numPr>
          <w:ilvl w:val="0"/>
          <w:numId w:val="1"/>
        </w:numPr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楷体_GB2312" w:eastAsia="楷体_GB2312"/>
          <w:sz w:val="28"/>
          <w:szCs w:val="28"/>
        </w:rPr>
        <w:t>客服咨询</w:t>
      </w:r>
    </w:p>
    <w:p>
      <w:pPr>
        <w:spacing w:line="360" w:lineRule="auto"/>
        <w:ind w:firstLine="720" w:firstLineChars="300"/>
        <w:rPr>
          <w:rFonts w:hint="eastAsia" w:ascii="仿宋_GB2312" w:hAnsi="宋体" w:eastAsia="仿宋_GB2312"/>
          <w:bCs/>
          <w:sz w:val="24"/>
        </w:rPr>
      </w:pPr>
      <w:r>
        <w:rPr>
          <w:rFonts w:hint="eastAsia" w:ascii="仿宋_GB2312" w:hAnsi="宋体" w:eastAsia="仿宋_GB2312"/>
          <w:bCs/>
          <w:sz w:val="24"/>
        </w:rPr>
        <w:t>若在使用过程中遇到任何问题，可点击界面浮窗[在线客服]，进行在线客服咨询</w:t>
      </w:r>
    </w:p>
    <w:p>
      <w:pPr>
        <w:pStyle w:val="32"/>
        <w:ind w:left="0"/>
        <w:rPr>
          <w:rFonts w:hint="eastAsia"/>
        </w:rPr>
      </w:pPr>
      <w:r>
        <w:rPr>
          <w14:ligatures w14:val="none"/>
        </w:rPr>
        <w:drawing>
          <wp:inline distT="0" distB="0" distL="0" distR="0">
            <wp:extent cx="5274310" cy="2921000"/>
            <wp:effectExtent l="0" t="0" r="2540" b="0"/>
            <wp:docPr id="13742670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26707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2"/>
        <w:ind w:left="0"/>
        <w:rPr>
          <w:rFonts w:hint="eastAsia"/>
        </w:rPr>
      </w:pPr>
    </w:p>
    <w:p>
      <w:pPr>
        <w:pStyle w:val="32"/>
        <w:ind w:left="0"/>
        <w:rPr>
          <w:rFonts w:hint="eastAsia" w:ascii="仿宋_GB2312" w:hAnsi="宋体" w:eastAsia="仿宋_GB2312"/>
          <w:bCs/>
          <w:sz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D434B4"/>
    <w:multiLevelType w:val="multilevel"/>
    <w:tmpl w:val="65D434B4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DC4"/>
    <w:rsid w:val="00026B1C"/>
    <w:rsid w:val="00086D50"/>
    <w:rsid w:val="000922A6"/>
    <w:rsid w:val="00132C81"/>
    <w:rsid w:val="00145868"/>
    <w:rsid w:val="00261BC6"/>
    <w:rsid w:val="002C4054"/>
    <w:rsid w:val="002D1467"/>
    <w:rsid w:val="003113DD"/>
    <w:rsid w:val="00373078"/>
    <w:rsid w:val="003D1FB8"/>
    <w:rsid w:val="003F0D94"/>
    <w:rsid w:val="00466DC4"/>
    <w:rsid w:val="004F2D51"/>
    <w:rsid w:val="00654023"/>
    <w:rsid w:val="00686128"/>
    <w:rsid w:val="006F24AF"/>
    <w:rsid w:val="00733B41"/>
    <w:rsid w:val="00762CB5"/>
    <w:rsid w:val="00855B31"/>
    <w:rsid w:val="008C75D7"/>
    <w:rsid w:val="008E6DE6"/>
    <w:rsid w:val="008F4A92"/>
    <w:rsid w:val="009D1F1E"/>
    <w:rsid w:val="009F5347"/>
    <w:rsid w:val="00A31853"/>
    <w:rsid w:val="00AE4D27"/>
    <w:rsid w:val="00B10B17"/>
    <w:rsid w:val="00B24775"/>
    <w:rsid w:val="00BD4046"/>
    <w:rsid w:val="00CC509A"/>
    <w:rsid w:val="00D51969"/>
    <w:rsid w:val="00DF0EF5"/>
    <w:rsid w:val="00E44D2C"/>
    <w:rsid w:val="00ED5052"/>
    <w:rsid w:val="12546749"/>
    <w:rsid w:val="3BCD4167"/>
    <w:rsid w:val="440C5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21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22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3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  <w:szCs w:val="24"/>
    </w:rPr>
  </w:style>
  <w:style w:type="paragraph" w:styleId="7">
    <w:name w:val="heading 6"/>
    <w:basedOn w:val="1"/>
    <w:next w:val="1"/>
    <w:link w:val="24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5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6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7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6">
    <w:name w:val="Default Paragraph Font"/>
    <w:semiHidden/>
    <w:unhideWhenUsed/>
    <w:uiPriority w:val="1"/>
  </w:style>
  <w:style w:type="table" w:default="1" w:styleId="1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7"/>
    <w:unhideWhenUsed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9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8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17">
    <w:name w:val="FollowedHyperlink"/>
    <w:basedOn w:val="16"/>
    <w:semiHidden/>
    <w:unhideWhenUsed/>
    <w:qFormat/>
    <w:uiPriority w:val="99"/>
    <w:rPr>
      <w:color w:val="96607D" w:themeColor="followedHyperlink"/>
      <w:u w:val="single"/>
      <w14:textFill>
        <w14:solidFill>
          <w14:schemeClr w14:val="folHlink"/>
        </w14:solidFill>
      </w14:textFill>
    </w:rPr>
  </w:style>
  <w:style w:type="character" w:styleId="18">
    <w:name w:val="Hyperlink"/>
    <w:basedOn w:val="16"/>
    <w:unhideWhenUsed/>
    <w:qFormat/>
    <w:uiPriority w:val="99"/>
    <w:rPr>
      <w:color w:val="467886" w:themeColor="hyperlink"/>
      <w:u w:val="single"/>
      <w14:textFill>
        <w14:solidFill>
          <w14:schemeClr w14:val="hlink"/>
        </w14:solidFill>
      </w14:textFill>
    </w:rPr>
  </w:style>
  <w:style w:type="character" w:customStyle="1" w:styleId="19">
    <w:name w:val="标题 4 字符"/>
    <w:basedOn w:val="16"/>
    <w:link w:val="5"/>
    <w:semiHidden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0">
    <w:name w:val="标题 1 字符"/>
    <w:basedOn w:val="16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21">
    <w:name w:val="标题 2 字符"/>
    <w:basedOn w:val="16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22">
    <w:name w:val="标题 3 字符"/>
    <w:basedOn w:val="16"/>
    <w:link w:val="4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3">
    <w:name w:val="标题 5 字符"/>
    <w:basedOn w:val="16"/>
    <w:link w:val="6"/>
    <w:semiHidden/>
    <w:uiPriority w:val="9"/>
    <w:rPr>
      <w:rFonts w:cstheme="majorBidi"/>
      <w:color w:val="104862" w:themeColor="accent1" w:themeShade="BF"/>
      <w:sz w:val="24"/>
      <w:szCs w:val="24"/>
    </w:rPr>
  </w:style>
  <w:style w:type="character" w:customStyle="1" w:styleId="24">
    <w:name w:val="标题 6 字符"/>
    <w:basedOn w:val="16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5">
    <w:name w:val="标题 7 字符"/>
    <w:basedOn w:val="16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8 字符"/>
    <w:basedOn w:val="16"/>
    <w:link w:val="9"/>
    <w:semiHidden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标题 9 字符"/>
    <w:basedOn w:val="16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8">
    <w:name w:val="标题 字符"/>
    <w:basedOn w:val="16"/>
    <w:link w:val="14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9">
    <w:name w:val="副标题 字符"/>
    <w:basedOn w:val="16"/>
    <w:link w:val="13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0">
    <w:name w:val="Quote"/>
    <w:basedOn w:val="1"/>
    <w:next w:val="1"/>
    <w:link w:val="31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1">
    <w:name w:val="引用 字符"/>
    <w:basedOn w:val="16"/>
    <w:link w:val="30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2">
    <w:name w:val="List Paragraph"/>
    <w:basedOn w:val="1"/>
    <w:qFormat/>
    <w:uiPriority w:val="34"/>
    <w:pPr>
      <w:ind w:left="720"/>
      <w:contextualSpacing/>
    </w:pPr>
  </w:style>
  <w:style w:type="character" w:customStyle="1" w:styleId="33">
    <w:name w:val="明显强调1"/>
    <w:basedOn w:val="16"/>
    <w:qFormat/>
    <w:uiPriority w:val="21"/>
    <w:rPr>
      <w:i/>
      <w:iCs/>
      <w:color w:val="104862" w:themeColor="accent1" w:themeShade="BF"/>
    </w:rPr>
  </w:style>
  <w:style w:type="paragraph" w:styleId="34">
    <w:name w:val="Intense Quote"/>
    <w:basedOn w:val="1"/>
    <w:next w:val="1"/>
    <w:link w:val="35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5">
    <w:name w:val="明显引用 字符"/>
    <w:basedOn w:val="16"/>
    <w:link w:val="34"/>
    <w:qFormat/>
    <w:uiPriority w:val="30"/>
    <w:rPr>
      <w:i/>
      <w:iCs/>
      <w:color w:val="104862" w:themeColor="accent1" w:themeShade="BF"/>
    </w:rPr>
  </w:style>
  <w:style w:type="character" w:customStyle="1" w:styleId="36">
    <w:name w:val="明显参考1"/>
    <w:basedOn w:val="16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7">
    <w:name w:val="页眉 字符"/>
    <w:basedOn w:val="16"/>
    <w:link w:val="12"/>
    <w:uiPriority w:val="99"/>
    <w:rPr>
      <w:sz w:val="18"/>
      <w:szCs w:val="18"/>
    </w:rPr>
  </w:style>
  <w:style w:type="character" w:customStyle="1" w:styleId="38">
    <w:name w:val="页脚 字符"/>
    <w:basedOn w:val="16"/>
    <w:link w:val="11"/>
    <w:uiPriority w:val="99"/>
    <w:rPr>
      <w:sz w:val="18"/>
      <w:szCs w:val="18"/>
    </w:rPr>
  </w:style>
  <w:style w:type="character" w:customStyle="1" w:styleId="39">
    <w:name w:val="未处理的提及1"/>
    <w:basedOn w:val="16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298</Words>
  <Characters>344</Characters>
  <Lines>26</Lines>
  <Paragraphs>18</Paragraphs>
  <TotalTime>2</TotalTime>
  <ScaleCrop>false</ScaleCrop>
  <LinksUpToDate>false</LinksUpToDate>
  <CharactersWithSpaces>624</CharactersWithSpaces>
  <Application>WPS Office_11.1.0.10009_F1E327BC-269C-435d-A152-05C5408002CA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2025-04-27T02:52:00Z</dcterms:created>
  <dc:creator>杰 赵</dc:creator>
  <cp:lastModifiedBy>自由金鱼</cp:lastModifiedBy>
  <dcterms:modified xsi:type="dcterms:W3CDTF">2026-05-12T08:32:45Z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eyJoZGlkIjoiNDk2Y2NjMTA2OGY2YzgxNDNlNTNhZjEzMjRhOTZiNTEiLCJ1c2VySWQiOiI0NDU4NzY0MDcifQ==</vt:lpwstr>
  </property>
  <property fmtid="{D5CDD505-2E9C-101B-9397-08002B2CF9AE}" pid="3" name="KSOProductBuildVer">
    <vt:lpwstr>2052-11.1.0.10009</vt:lpwstr>
  </property>
  <property fmtid="{D5CDD505-2E9C-101B-9397-08002B2CF9AE}" pid="4" name="ICV">
    <vt:lpwstr>7B27575FD52045E7B77549CE48843081_12</vt:lpwstr>
  </property>
</Properties>
</file>